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text" w:horzAnchor="page" w:tblpX="1130" w:tblpY="48"/>
        <w:tblW w:w="98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66"/>
      </w:tblGrid>
      <w:tr w14:paraId="383C3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9866" w:type="dxa"/>
            <w:tcBorders>
              <w:top w:val="single" w:color="C0C0C0" w:sz="4" w:space="0"/>
              <w:left w:val="single" w:color="C0C0C0" w:sz="4" w:space="0"/>
              <w:bottom w:val="single" w:color="C0C0C0" w:sz="4" w:space="0"/>
              <w:right w:val="single" w:color="C0C0C0" w:sz="4" w:space="0"/>
            </w:tcBorders>
          </w:tcPr>
          <w:p w14:paraId="383C381C">
            <w:pPr>
              <w:tabs>
                <w:tab w:val="left" w:pos="9900"/>
              </w:tabs>
              <w:ind w:left="4" w:leftChars="2" w:right="210" w:rightChars="100"/>
              <w:rPr>
                <w:sz w:val="15"/>
                <w:szCs w:val="15"/>
              </w:rPr>
            </w:pPr>
            <w:r>
              <w:rPr>
                <w:rFonts w:hint="eastAsia"/>
                <w:b/>
                <w:sz w:val="20"/>
                <w:szCs w:val="20"/>
              </w:rPr>
              <w:t>特别提示：</w:t>
            </w:r>
            <w:r>
              <w:rPr>
                <w:rFonts w:hint="eastAsia"/>
                <w:sz w:val="20"/>
                <w:szCs w:val="20"/>
              </w:rPr>
              <w:t>１、请在填写此表前，仔细阅读汇添富基金管理股份有限公司（下称本公司）旗下基金的《基金合同》、《招募说明书》、《产品资料概要》相关业务规则及投资者权益须知。</w:t>
            </w:r>
          </w:p>
        </w:tc>
      </w:tr>
    </w:tbl>
    <w:p w14:paraId="383C381E">
      <w:pPr>
        <w:ind w:left="282" w:leftChars="-269" w:right="-328" w:rightChars="-156" w:hanging="847" w:hangingChars="471"/>
        <w:rPr>
          <w:sz w:val="18"/>
          <w:szCs w:val="18"/>
        </w:rPr>
      </w:pPr>
    </w:p>
    <w:tbl>
      <w:tblPr>
        <w:tblStyle w:val="7"/>
        <w:tblpPr w:leftFromText="180" w:rightFromText="180" w:vertAnchor="text" w:horzAnchor="page" w:tblpX="1130" w:tblpY="48"/>
        <w:tblW w:w="98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9015"/>
      </w:tblGrid>
      <w:tr w14:paraId="383C3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851" w:type="dxa"/>
            <w:tcBorders>
              <w:top w:val="single" w:color="C0C0C0" w:sz="4" w:space="0"/>
              <w:left w:val="single" w:color="C0C0C0" w:sz="4" w:space="0"/>
              <w:bottom w:val="single" w:color="C0C0C0" w:sz="4" w:space="0"/>
              <w:right w:val="single" w:color="C0C0C0" w:sz="4" w:space="0"/>
            </w:tcBorders>
          </w:tcPr>
          <w:p w14:paraId="383C381F">
            <w:pPr>
              <w:ind w:right="-328" w:rightChars="-156"/>
              <w:rPr>
                <w:sz w:val="18"/>
                <w:szCs w:val="18"/>
              </w:rPr>
            </w:pPr>
            <w:r>
              <w:rPr>
                <w:rFonts w:hint="eastAsia"/>
                <w:sz w:val="18"/>
                <w:szCs w:val="18"/>
              </w:rPr>
              <w:t>业务类型</w:t>
            </w:r>
          </w:p>
          <w:p w14:paraId="383C3820">
            <w:pPr>
              <w:tabs>
                <w:tab w:val="left" w:pos="9900"/>
              </w:tabs>
              <w:ind w:left="4" w:leftChars="2" w:right="210" w:rightChars="100"/>
              <w:rPr>
                <w:sz w:val="15"/>
                <w:szCs w:val="15"/>
              </w:rPr>
            </w:pPr>
          </w:p>
        </w:tc>
        <w:tc>
          <w:tcPr>
            <w:tcW w:w="9015" w:type="dxa"/>
            <w:tcBorders>
              <w:top w:val="single" w:color="C0C0C0" w:sz="4" w:space="0"/>
              <w:left w:val="single" w:color="C0C0C0" w:sz="4" w:space="0"/>
              <w:bottom w:val="single" w:color="C0C0C0" w:sz="4" w:space="0"/>
              <w:right w:val="single" w:color="C0C0C0" w:sz="4" w:space="0"/>
            </w:tcBorders>
          </w:tcPr>
          <w:p w14:paraId="383C3821">
            <w:pPr>
              <w:rPr>
                <w:sz w:val="18"/>
                <w:szCs w:val="18"/>
              </w:rPr>
            </w:pPr>
            <w:r>
              <w:rPr>
                <w:rFonts w:hint="eastAsia"/>
                <w:sz w:val="18"/>
                <w:szCs w:val="18"/>
              </w:rPr>
              <w:t xml:space="preserve">□基金账户开户  □增加交易账户  </w:t>
            </w:r>
          </w:p>
          <w:p w14:paraId="383C3822">
            <w:pPr>
              <w:rPr>
                <w:sz w:val="18"/>
                <w:szCs w:val="18"/>
              </w:rPr>
            </w:pPr>
            <w:r>
              <w:rPr>
                <w:rFonts w:hint="eastAsia"/>
                <w:sz w:val="18"/>
                <w:szCs w:val="18"/>
              </w:rPr>
              <w:t xml:space="preserve">□账户资料变（□修改姓名 □修改证件类型及证件号码 □修改银行卡号码 □修改手机号码  □其它）  </w:t>
            </w:r>
          </w:p>
          <w:p w14:paraId="383C3823">
            <w:pPr>
              <w:rPr>
                <w:sz w:val="15"/>
                <w:szCs w:val="15"/>
              </w:rPr>
            </w:pPr>
            <w:r>
              <w:rPr>
                <w:rFonts w:hint="eastAsia"/>
                <w:sz w:val="18"/>
                <w:szCs w:val="18"/>
                <w:lang w:eastAsia="zh-CN"/>
              </w:rPr>
              <w:t>□</w:t>
            </w:r>
            <w:r>
              <w:rPr>
                <w:rFonts w:hint="eastAsia"/>
                <w:sz w:val="18"/>
                <w:szCs w:val="18"/>
              </w:rPr>
              <w:t>基金账户销户  □登录密码重置  □交易密码重置</w:t>
            </w:r>
          </w:p>
        </w:tc>
      </w:tr>
    </w:tbl>
    <w:p w14:paraId="383C3825">
      <w:pPr>
        <w:ind w:left="380" w:leftChars="181" w:right="-328" w:rightChars="-156" w:firstLine="45" w:firstLineChars="25"/>
        <w:rPr>
          <w:sz w:val="18"/>
          <w:szCs w:val="18"/>
        </w:rPr>
      </w:pPr>
    </w:p>
    <w:tbl>
      <w:tblPr>
        <w:tblStyle w:val="7"/>
        <w:tblW w:w="9872" w:type="dxa"/>
        <w:tblInd w:w="-584" w:type="dxa"/>
        <w:tblBorders>
          <w:top w:val="single" w:color="C0C0C0" w:sz="4" w:space="0"/>
          <w:left w:val="single" w:color="C0C0C0" w:sz="4" w:space="0"/>
          <w:bottom w:val="single" w:color="C0C0C0" w:sz="4" w:space="0"/>
          <w:right w:val="single" w:color="C0C0C0" w:sz="4" w:space="0"/>
          <w:insideH w:val="single" w:color="C0C0C0" w:sz="4" w:space="0"/>
          <w:insideV w:val="single" w:color="C0C0C0" w:sz="4" w:space="0"/>
        </w:tblBorders>
        <w:shd w:val="clear" w:color="auto" w:fill="auto"/>
        <w:tblLayout w:type="autofit"/>
        <w:tblCellMar>
          <w:top w:w="0" w:type="dxa"/>
          <w:left w:w="108" w:type="dxa"/>
          <w:bottom w:w="0" w:type="dxa"/>
          <w:right w:w="108" w:type="dxa"/>
        </w:tblCellMar>
      </w:tblPr>
      <w:tblGrid>
        <w:gridCol w:w="9872"/>
      </w:tblGrid>
      <w:tr w14:paraId="383C3831">
        <w:tblPrEx>
          <w:tblBorders>
            <w:top w:val="single" w:color="C0C0C0" w:sz="4" w:space="0"/>
            <w:left w:val="single" w:color="C0C0C0" w:sz="4" w:space="0"/>
            <w:bottom w:val="single" w:color="C0C0C0" w:sz="4" w:space="0"/>
            <w:right w:val="single" w:color="C0C0C0" w:sz="4" w:space="0"/>
            <w:insideH w:val="single" w:color="C0C0C0" w:sz="4" w:space="0"/>
            <w:insideV w:val="single" w:color="C0C0C0" w:sz="4" w:space="0"/>
          </w:tblBorders>
          <w:shd w:val="clear" w:color="auto" w:fill="auto"/>
          <w:tblCellMar>
            <w:top w:w="0" w:type="dxa"/>
            <w:left w:w="108" w:type="dxa"/>
            <w:bottom w:w="0" w:type="dxa"/>
            <w:right w:w="108" w:type="dxa"/>
          </w:tblCellMar>
        </w:tblPrEx>
        <w:trPr>
          <w:trHeight w:val="2145" w:hRule="atLeast"/>
        </w:trPr>
        <w:tc>
          <w:tcPr>
            <w:tcW w:w="9872" w:type="dxa"/>
            <w:shd w:val="clear" w:color="auto" w:fill="auto"/>
            <w:vAlign w:val="center"/>
          </w:tcPr>
          <w:p w14:paraId="383C3826">
            <w:pPr>
              <w:numPr>
                <w:ilvl w:val="0"/>
                <w:numId w:val="1"/>
              </w:numPr>
              <w:rPr>
                <w:sz w:val="18"/>
                <w:szCs w:val="18"/>
                <w:highlight w:val="none"/>
              </w:rPr>
            </w:pPr>
            <w:r>
              <w:rPr>
                <w:rFonts w:hint="eastAsia"/>
                <w:b/>
                <w:sz w:val="20"/>
                <w:szCs w:val="20"/>
                <w:highlight w:val="none"/>
              </w:rPr>
              <w:t xml:space="preserve">申请人基本信息 </w:t>
            </w:r>
            <w:r>
              <w:rPr>
                <w:rFonts w:hint="eastAsia"/>
                <w:b/>
                <w:sz w:val="18"/>
                <w:szCs w:val="18"/>
                <w:highlight w:val="none"/>
              </w:rPr>
              <w:t xml:space="preserve">              </w:t>
            </w:r>
          </w:p>
          <w:p w14:paraId="383C3827">
            <w:pPr>
              <w:rPr>
                <w:sz w:val="18"/>
                <w:szCs w:val="18"/>
                <w:highlight w:val="none"/>
                <w:u w:val="single"/>
              </w:rPr>
            </w:pPr>
            <w:r>
              <w:rPr>
                <w:rFonts w:hint="eastAsia"/>
                <w:b/>
                <w:sz w:val="18"/>
                <w:szCs w:val="18"/>
                <w:highlight w:val="none"/>
              </w:rPr>
              <w:t>＊</w:t>
            </w:r>
            <w:r>
              <w:rPr>
                <w:rFonts w:hint="eastAsia"/>
                <w:sz w:val="18"/>
                <w:szCs w:val="18"/>
                <w:highlight w:val="none"/>
              </w:rPr>
              <w:t xml:space="preserve">申请人姓名 </w:t>
            </w:r>
            <w:r>
              <w:rPr>
                <w:rFonts w:hint="eastAsia"/>
                <w:sz w:val="18"/>
                <w:szCs w:val="18"/>
                <w:highlight w:val="none"/>
                <w:u w:val="single"/>
              </w:rPr>
              <w:t xml:space="preserve">                                 </w:t>
            </w:r>
            <w:r>
              <w:rPr>
                <w:rFonts w:hint="eastAsia"/>
                <w:sz w:val="18"/>
                <w:szCs w:val="18"/>
                <w:highlight w:val="none"/>
              </w:rPr>
              <w:t xml:space="preserve">         </w:t>
            </w:r>
            <w:r>
              <w:rPr>
                <w:rFonts w:hint="eastAsia"/>
                <w:b/>
                <w:sz w:val="18"/>
                <w:szCs w:val="18"/>
                <w:highlight w:val="none"/>
              </w:rPr>
              <w:t>＊</w:t>
            </w:r>
            <w:r>
              <w:rPr>
                <w:rFonts w:hint="eastAsia"/>
                <w:sz w:val="18"/>
                <w:szCs w:val="18"/>
                <w:highlight w:val="none"/>
              </w:rPr>
              <w:t xml:space="preserve">性别 </w:t>
            </w:r>
            <w:r>
              <w:rPr>
                <w:rFonts w:hint="eastAsia"/>
                <w:sz w:val="18"/>
                <w:szCs w:val="18"/>
                <w:highlight w:val="none"/>
                <w:u w:val="single"/>
              </w:rPr>
              <w:t xml:space="preserve">             </w:t>
            </w:r>
            <w:r>
              <w:rPr>
                <w:rFonts w:hint="eastAsia"/>
                <w:sz w:val="18"/>
                <w:szCs w:val="18"/>
                <w:highlight w:val="none"/>
              </w:rPr>
              <w:t xml:space="preserve">      </w:t>
            </w:r>
            <w:r>
              <w:rPr>
                <w:rFonts w:hint="eastAsia"/>
                <w:b/>
                <w:sz w:val="18"/>
                <w:szCs w:val="18"/>
                <w:highlight w:val="none"/>
              </w:rPr>
              <w:t>＊</w:t>
            </w:r>
            <w:r>
              <w:rPr>
                <w:rFonts w:hint="eastAsia"/>
                <w:sz w:val="18"/>
                <w:szCs w:val="18"/>
                <w:highlight w:val="none"/>
              </w:rPr>
              <w:t xml:space="preserve">国籍 </w:t>
            </w:r>
            <w:r>
              <w:rPr>
                <w:rFonts w:hint="eastAsia"/>
                <w:sz w:val="18"/>
                <w:szCs w:val="18"/>
                <w:highlight w:val="none"/>
                <w:u w:val="single"/>
              </w:rPr>
              <w:t xml:space="preserve">             </w:t>
            </w:r>
          </w:p>
          <w:p w14:paraId="3AA31CF0">
            <w:pPr>
              <w:rPr>
                <w:sz w:val="18"/>
                <w:szCs w:val="18"/>
                <w:highlight w:val="none"/>
              </w:rPr>
            </w:pPr>
            <w:r>
              <w:rPr>
                <w:rFonts w:hint="eastAsia"/>
                <w:b/>
                <w:sz w:val="18"/>
                <w:szCs w:val="18"/>
                <w:highlight w:val="none"/>
              </w:rPr>
              <w:t>＊</w:t>
            </w:r>
            <w:r>
              <w:rPr>
                <w:rFonts w:hint="eastAsia"/>
                <w:sz w:val="18"/>
                <w:szCs w:val="18"/>
                <w:highlight w:val="none"/>
              </w:rPr>
              <w:t xml:space="preserve">证件类型 □身份证 □外国人永久居留证 □港澳台居住证 □港澳居民来往内地通行证 □台湾居民往来大陆通行证 </w:t>
            </w:r>
          </w:p>
          <w:p w14:paraId="383C3828">
            <w:pPr>
              <w:rPr>
                <w:sz w:val="18"/>
                <w:szCs w:val="18"/>
                <w:highlight w:val="none"/>
              </w:rPr>
            </w:pPr>
            <w:r>
              <w:rPr>
                <w:rFonts w:hint="eastAsia"/>
                <w:sz w:val="18"/>
                <w:szCs w:val="18"/>
                <w:highlight w:val="none"/>
              </w:rPr>
              <w:t>□其他</w:t>
            </w:r>
            <w:r>
              <w:rPr>
                <w:rFonts w:hint="eastAsia"/>
                <w:sz w:val="18"/>
                <w:szCs w:val="18"/>
                <w:highlight w:val="none"/>
                <w:u w:val="single"/>
              </w:rPr>
              <w:t xml:space="preserve">               </w:t>
            </w:r>
            <w:r>
              <w:rPr>
                <w:rFonts w:hint="eastAsia"/>
                <w:sz w:val="18"/>
                <w:szCs w:val="18"/>
                <w:highlight w:val="none"/>
              </w:rPr>
              <w:t xml:space="preserve"> </w:t>
            </w:r>
          </w:p>
          <w:p w14:paraId="383C3829">
            <w:pPr>
              <w:rPr>
                <w:sz w:val="18"/>
                <w:szCs w:val="18"/>
                <w:highlight w:val="none"/>
              </w:rPr>
            </w:pPr>
            <w:r>
              <w:rPr>
                <w:rFonts w:hint="eastAsia"/>
                <w:b/>
                <w:sz w:val="18"/>
                <w:szCs w:val="18"/>
                <w:highlight w:val="none"/>
              </w:rPr>
              <w:t>＊</w:t>
            </w:r>
            <w:r>
              <w:rPr>
                <w:rFonts w:hint="eastAsia"/>
                <w:sz w:val="18"/>
                <w:szCs w:val="18"/>
                <w:highlight w:val="none"/>
              </w:rPr>
              <w:t xml:space="preserve">证件号码 </w:t>
            </w:r>
            <w:r>
              <w:rPr>
                <w:rFonts w:hint="eastAsia"/>
                <w:sz w:val="18"/>
                <w:szCs w:val="18"/>
                <w:highlight w:val="none"/>
                <w:u w:val="single"/>
              </w:rPr>
              <w:t xml:space="preserve">                                    </w:t>
            </w:r>
            <w:r>
              <w:rPr>
                <w:rFonts w:hint="eastAsia"/>
                <w:sz w:val="18"/>
                <w:szCs w:val="18"/>
                <w:highlight w:val="none"/>
              </w:rPr>
              <w:t xml:space="preserve">        </w:t>
            </w:r>
            <w:r>
              <w:rPr>
                <w:rFonts w:hint="eastAsia"/>
                <w:b/>
                <w:sz w:val="18"/>
                <w:szCs w:val="18"/>
                <w:highlight w:val="none"/>
              </w:rPr>
              <w:t>＊</w:t>
            </w:r>
            <w:r>
              <w:rPr>
                <w:rFonts w:hint="eastAsia"/>
                <w:sz w:val="18"/>
                <w:szCs w:val="18"/>
                <w:highlight w:val="none"/>
              </w:rPr>
              <w:t>证件有效期</w:t>
            </w:r>
            <w:r>
              <w:rPr>
                <w:rFonts w:hint="eastAsia"/>
                <w:sz w:val="18"/>
                <w:szCs w:val="18"/>
                <w:highlight w:val="none"/>
                <w:u w:val="single"/>
              </w:rPr>
              <w:t xml:space="preserve">                </w:t>
            </w:r>
            <w:r>
              <w:rPr>
                <w:rFonts w:hint="eastAsia"/>
                <w:sz w:val="18"/>
                <w:szCs w:val="18"/>
                <w:highlight w:val="none"/>
              </w:rPr>
              <w:t>至</w:t>
            </w:r>
            <w:r>
              <w:rPr>
                <w:rFonts w:hint="eastAsia"/>
                <w:sz w:val="18"/>
                <w:szCs w:val="18"/>
                <w:highlight w:val="none"/>
                <w:u w:val="single"/>
              </w:rPr>
              <w:t xml:space="preserve">                  </w:t>
            </w:r>
            <w:r>
              <w:rPr>
                <w:rFonts w:hint="eastAsia"/>
                <w:sz w:val="18"/>
                <w:szCs w:val="18"/>
                <w:highlight w:val="none"/>
              </w:rPr>
              <w:t xml:space="preserve">       </w:t>
            </w:r>
          </w:p>
          <w:p w14:paraId="383C382A">
            <w:pPr>
              <w:rPr>
                <w:sz w:val="18"/>
                <w:szCs w:val="18"/>
                <w:highlight w:val="none"/>
              </w:rPr>
            </w:pPr>
            <w:r>
              <w:rPr>
                <w:rFonts w:hint="eastAsia"/>
                <w:sz w:val="18"/>
                <w:szCs w:val="18"/>
                <w:highlight w:val="none"/>
              </w:rPr>
              <w:t xml:space="preserve">基金账号 </w:t>
            </w:r>
            <w:r>
              <w:rPr>
                <w:rFonts w:hint="eastAsia"/>
                <w:sz w:val="18"/>
                <w:szCs w:val="18"/>
                <w:highlight w:val="none"/>
                <w:u w:val="single"/>
              </w:rPr>
              <w:t xml:space="preserve">                           </w:t>
            </w:r>
            <w:r>
              <w:rPr>
                <w:rFonts w:hint="eastAsia"/>
                <w:sz w:val="18"/>
                <w:szCs w:val="18"/>
                <w:highlight w:val="none"/>
              </w:rPr>
              <w:t>（新开户免填）   交易账号</w:t>
            </w:r>
            <w:r>
              <w:rPr>
                <w:rFonts w:hint="eastAsia"/>
                <w:sz w:val="18"/>
                <w:szCs w:val="18"/>
                <w:highlight w:val="none"/>
                <w:u w:val="single"/>
              </w:rPr>
              <w:t xml:space="preserve">                         </w:t>
            </w:r>
            <w:r>
              <w:rPr>
                <w:rFonts w:hint="eastAsia"/>
                <w:sz w:val="18"/>
                <w:szCs w:val="18"/>
                <w:highlight w:val="none"/>
              </w:rPr>
              <w:t>（新开户免填）</w:t>
            </w:r>
          </w:p>
          <w:p w14:paraId="383C382B">
            <w:pPr>
              <w:rPr>
                <w:sz w:val="18"/>
                <w:szCs w:val="18"/>
                <w:highlight w:val="none"/>
              </w:rPr>
            </w:pPr>
            <w:r>
              <w:rPr>
                <w:rFonts w:hint="eastAsia"/>
                <w:sz w:val="18"/>
                <w:szCs w:val="18"/>
                <w:highlight w:val="none"/>
              </w:rPr>
              <w:t xml:space="preserve">证券账户类型  □上海证券账户   □深圳证券账户  □封闭式证券投资基金账户    证券账户号 </w:t>
            </w:r>
            <w:r>
              <w:rPr>
                <w:rFonts w:hint="eastAsia"/>
                <w:sz w:val="18"/>
                <w:szCs w:val="18"/>
                <w:highlight w:val="none"/>
                <w:u w:val="single"/>
              </w:rPr>
              <w:t xml:space="preserve">                 </w:t>
            </w:r>
            <w:r>
              <w:rPr>
                <w:rFonts w:hint="eastAsia"/>
                <w:sz w:val="18"/>
                <w:szCs w:val="18"/>
                <w:highlight w:val="none"/>
              </w:rPr>
              <w:t xml:space="preserve">  </w:t>
            </w:r>
          </w:p>
          <w:p w14:paraId="383C382C">
            <w:pPr>
              <w:rPr>
                <w:sz w:val="18"/>
                <w:szCs w:val="18"/>
                <w:highlight w:val="none"/>
              </w:rPr>
            </w:pPr>
            <w:r>
              <w:rPr>
                <w:rFonts w:hint="eastAsia"/>
                <w:b/>
                <w:sz w:val="18"/>
                <w:szCs w:val="18"/>
                <w:highlight w:val="none"/>
              </w:rPr>
              <w:t>＊</w:t>
            </w:r>
            <w:r>
              <w:rPr>
                <w:rFonts w:hint="eastAsia"/>
                <w:sz w:val="18"/>
                <w:szCs w:val="18"/>
                <w:highlight w:val="none"/>
              </w:rPr>
              <w:t>交易委托方式     □柜台交易       □传真交易</w:t>
            </w:r>
          </w:p>
          <w:p w14:paraId="05A1A649">
            <w:pPr>
              <w:rPr>
                <w:rFonts w:hint="eastAsia"/>
                <w:sz w:val="18"/>
                <w:szCs w:val="18"/>
                <w:highlight w:val="none"/>
              </w:rPr>
            </w:pPr>
            <w:r>
              <w:rPr>
                <w:rFonts w:hint="eastAsia"/>
                <w:b/>
                <w:sz w:val="18"/>
                <w:szCs w:val="18"/>
                <w:highlight w:val="none"/>
              </w:rPr>
              <w:t>＊</w:t>
            </w:r>
            <w:r>
              <w:rPr>
                <w:rFonts w:hint="eastAsia"/>
                <w:sz w:val="18"/>
                <w:szCs w:val="18"/>
                <w:highlight w:val="none"/>
              </w:rPr>
              <w:t>建立业务关系和交易的目的</w:t>
            </w:r>
            <w:r>
              <w:rPr>
                <w:rFonts w:hint="eastAsia"/>
                <w:sz w:val="18"/>
                <w:szCs w:val="18"/>
                <w:highlight w:val="none"/>
                <w:lang w:eastAsia="zh-CN"/>
              </w:rPr>
              <w:t>（</w:t>
            </w:r>
            <w:r>
              <w:rPr>
                <w:rFonts w:hint="eastAsia"/>
                <w:sz w:val="18"/>
                <w:szCs w:val="18"/>
                <w:highlight w:val="none"/>
                <w:lang w:val="en-US" w:eastAsia="zh-CN"/>
              </w:rPr>
              <w:t>单选</w:t>
            </w:r>
            <w:r>
              <w:rPr>
                <w:rFonts w:hint="eastAsia"/>
                <w:sz w:val="18"/>
                <w:szCs w:val="18"/>
                <w:highlight w:val="none"/>
                <w:lang w:eastAsia="zh-CN"/>
              </w:rPr>
              <w:t>）</w:t>
            </w:r>
            <w:r>
              <w:rPr>
                <w:rFonts w:hint="eastAsia"/>
                <w:sz w:val="18"/>
                <w:szCs w:val="18"/>
                <w:highlight w:val="none"/>
              </w:rPr>
              <w:t xml:space="preserve">  □资产增值  □资产保值  □风险对冲  □其他：</w:t>
            </w:r>
            <w:r>
              <w:rPr>
                <w:rFonts w:hint="eastAsia"/>
                <w:sz w:val="18"/>
                <w:szCs w:val="18"/>
                <w:highlight w:val="none"/>
                <w:u w:val="single"/>
              </w:rPr>
              <w:t xml:space="preserve">                        </w:t>
            </w:r>
          </w:p>
          <w:p w14:paraId="185CC56E">
            <w:pPr>
              <w:rPr>
                <w:sz w:val="18"/>
                <w:szCs w:val="18"/>
                <w:highlight w:val="none"/>
                <w:u w:val="single"/>
              </w:rPr>
            </w:pPr>
            <w:r>
              <w:rPr>
                <w:rFonts w:hint="eastAsia"/>
                <w:b/>
                <w:sz w:val="18"/>
                <w:szCs w:val="18"/>
                <w:highlight w:val="none"/>
              </w:rPr>
              <w:t>＊</w:t>
            </w:r>
            <w:r>
              <w:rPr>
                <w:rFonts w:hint="eastAsia"/>
                <w:sz w:val="18"/>
                <w:szCs w:val="18"/>
                <w:highlight w:val="none"/>
              </w:rPr>
              <w:t>建立业务关系和交易的性质</w:t>
            </w:r>
            <w:r>
              <w:rPr>
                <w:rFonts w:hint="eastAsia"/>
                <w:sz w:val="18"/>
                <w:szCs w:val="18"/>
                <w:highlight w:val="none"/>
                <w:lang w:eastAsia="zh-CN"/>
              </w:rPr>
              <w:t>（</w:t>
            </w:r>
            <w:r>
              <w:rPr>
                <w:rFonts w:hint="eastAsia"/>
                <w:sz w:val="18"/>
                <w:szCs w:val="18"/>
                <w:highlight w:val="none"/>
                <w:lang w:val="en-US" w:eastAsia="zh-CN"/>
              </w:rPr>
              <w:t>单选</w:t>
            </w:r>
            <w:r>
              <w:rPr>
                <w:rFonts w:hint="eastAsia"/>
                <w:sz w:val="18"/>
                <w:szCs w:val="18"/>
                <w:highlight w:val="none"/>
                <w:lang w:eastAsia="zh-CN"/>
              </w:rPr>
              <w:t>）</w:t>
            </w:r>
            <w:r>
              <w:rPr>
                <w:rFonts w:hint="eastAsia"/>
                <w:sz w:val="18"/>
                <w:szCs w:val="18"/>
                <w:highlight w:val="none"/>
              </w:rPr>
              <w:t xml:space="preserve">  □长期交易  □短期交易  □定期交易  □其他：</w:t>
            </w:r>
            <w:r>
              <w:rPr>
                <w:rFonts w:hint="eastAsia"/>
                <w:sz w:val="18"/>
                <w:szCs w:val="18"/>
                <w:highlight w:val="none"/>
                <w:u w:val="single"/>
              </w:rPr>
              <w:t xml:space="preserve">                        </w:t>
            </w:r>
          </w:p>
          <w:p w14:paraId="6B1A28DC">
            <w:pPr>
              <w:rPr>
                <w:sz w:val="18"/>
                <w:szCs w:val="18"/>
                <w:highlight w:val="none"/>
              </w:rPr>
            </w:pPr>
            <w:r>
              <w:rPr>
                <w:rFonts w:hint="eastAsia"/>
                <w:b/>
                <w:sz w:val="18"/>
                <w:szCs w:val="18"/>
                <w:highlight w:val="none"/>
              </w:rPr>
              <w:t>＊</w:t>
            </w:r>
            <w:r>
              <w:rPr>
                <w:rFonts w:hint="eastAsia"/>
                <w:sz w:val="18"/>
                <w:szCs w:val="18"/>
                <w:highlight w:val="none"/>
                <w:u w:val="none"/>
              </w:rPr>
              <w:t>资金来源</w:t>
            </w:r>
            <w:r>
              <w:rPr>
                <w:rFonts w:hint="eastAsia"/>
                <w:sz w:val="18"/>
                <w:szCs w:val="18"/>
                <w:highlight w:val="none"/>
              </w:rPr>
              <w:t xml:space="preserve">  □工资、劳动报酬  □生产经营所得  □利息、股息、转让等金融性资产收入  </w:t>
            </w:r>
          </w:p>
          <w:p w14:paraId="11997474">
            <w:pPr>
              <w:ind w:firstLine="1080" w:firstLineChars="600"/>
              <w:rPr>
                <w:rFonts w:hint="eastAsia"/>
                <w:sz w:val="18"/>
                <w:szCs w:val="18"/>
                <w:highlight w:val="none"/>
              </w:rPr>
            </w:pPr>
            <w:r>
              <w:rPr>
                <w:rFonts w:hint="eastAsia"/>
                <w:sz w:val="18"/>
                <w:szCs w:val="18"/>
                <w:highlight w:val="none"/>
              </w:rPr>
              <w:t>□</w:t>
            </w:r>
            <w:r>
              <w:rPr>
                <w:sz w:val="18"/>
                <w:szCs w:val="18"/>
                <w:highlight w:val="none"/>
              </w:rPr>
              <w:t>出租、出售房地产等非金融性资产收入</w:t>
            </w:r>
            <w:r>
              <w:rPr>
                <w:rFonts w:hint="eastAsia"/>
                <w:sz w:val="18"/>
                <w:szCs w:val="18"/>
                <w:highlight w:val="none"/>
              </w:rPr>
              <w:t xml:space="preserve">  □积蓄或社会保障  □其他：</w:t>
            </w:r>
            <w:r>
              <w:rPr>
                <w:rFonts w:hint="eastAsia"/>
                <w:sz w:val="18"/>
                <w:szCs w:val="18"/>
                <w:highlight w:val="none"/>
                <w:u w:val="single"/>
              </w:rPr>
              <w:t xml:space="preserve">                        </w:t>
            </w:r>
          </w:p>
          <w:p w14:paraId="383C3830">
            <w:pPr>
              <w:rPr>
                <w:rFonts w:hint="eastAsia"/>
                <w:sz w:val="18"/>
                <w:szCs w:val="18"/>
                <w:highlight w:val="none"/>
              </w:rPr>
            </w:pPr>
            <w:r>
              <w:rPr>
                <w:rFonts w:hint="eastAsia"/>
                <w:b/>
                <w:sz w:val="18"/>
                <w:szCs w:val="18"/>
                <w:highlight w:val="none"/>
              </w:rPr>
              <w:t>＊</w:t>
            </w:r>
            <w:r>
              <w:rPr>
                <w:rFonts w:hint="eastAsia"/>
                <w:sz w:val="18"/>
                <w:szCs w:val="18"/>
                <w:highlight w:val="none"/>
              </w:rPr>
              <w:t>资金用途  □投资理财  □其他：</w:t>
            </w:r>
            <w:r>
              <w:rPr>
                <w:rFonts w:hint="eastAsia"/>
                <w:sz w:val="18"/>
                <w:szCs w:val="18"/>
                <w:highlight w:val="none"/>
                <w:u w:val="single"/>
              </w:rPr>
              <w:t xml:space="preserve">                        </w:t>
            </w:r>
          </w:p>
        </w:tc>
      </w:tr>
    </w:tbl>
    <w:p w14:paraId="383C3832">
      <w:pPr>
        <w:spacing w:line="240" w:lineRule="exact"/>
        <w:rPr>
          <w:sz w:val="18"/>
          <w:szCs w:val="18"/>
        </w:rPr>
      </w:pPr>
      <w:r>
        <w:rPr>
          <w:rFonts w:hint="eastAsia"/>
          <w:sz w:val="18"/>
          <w:szCs w:val="18"/>
        </w:rPr>
        <w:t xml:space="preserve">   </w:t>
      </w:r>
    </w:p>
    <w:tbl>
      <w:tblPr>
        <w:tblStyle w:val="7"/>
        <w:tblW w:w="9865" w:type="dxa"/>
        <w:tblInd w:w="-577" w:type="dxa"/>
        <w:tblBorders>
          <w:top w:val="single" w:color="C0C0C0" w:sz="4" w:space="0"/>
          <w:left w:val="single" w:color="C0C0C0" w:sz="4" w:space="0"/>
          <w:bottom w:val="single" w:color="C0C0C0" w:sz="4" w:space="0"/>
          <w:right w:val="single" w:color="C0C0C0" w:sz="4" w:space="0"/>
          <w:insideH w:val="single" w:color="C0C0C0" w:sz="4" w:space="0"/>
          <w:insideV w:val="single" w:color="C0C0C0" w:sz="4" w:space="0"/>
        </w:tblBorders>
        <w:tblLayout w:type="autofit"/>
        <w:tblCellMar>
          <w:top w:w="0" w:type="dxa"/>
          <w:left w:w="108" w:type="dxa"/>
          <w:bottom w:w="0" w:type="dxa"/>
          <w:right w:w="108" w:type="dxa"/>
        </w:tblCellMar>
      </w:tblPr>
      <w:tblGrid>
        <w:gridCol w:w="9865"/>
      </w:tblGrid>
      <w:tr w14:paraId="383C3837">
        <w:tblPrEx>
          <w:tblBorders>
            <w:top w:val="single" w:color="C0C0C0" w:sz="4" w:space="0"/>
            <w:left w:val="single" w:color="C0C0C0" w:sz="4" w:space="0"/>
            <w:bottom w:val="single" w:color="C0C0C0" w:sz="4" w:space="0"/>
            <w:right w:val="single" w:color="C0C0C0" w:sz="4" w:space="0"/>
            <w:insideH w:val="single" w:color="C0C0C0" w:sz="4" w:space="0"/>
            <w:insideV w:val="single" w:color="C0C0C0" w:sz="4" w:space="0"/>
          </w:tblBorders>
          <w:tblCellMar>
            <w:top w:w="0" w:type="dxa"/>
            <w:left w:w="108" w:type="dxa"/>
            <w:bottom w:w="0" w:type="dxa"/>
            <w:right w:w="108" w:type="dxa"/>
          </w:tblCellMar>
        </w:tblPrEx>
        <w:trPr>
          <w:trHeight w:val="1013" w:hRule="atLeast"/>
        </w:trPr>
        <w:tc>
          <w:tcPr>
            <w:tcW w:w="9865" w:type="dxa"/>
            <w:vAlign w:val="center"/>
          </w:tcPr>
          <w:p w14:paraId="383C3833">
            <w:pPr>
              <w:numPr>
                <w:ilvl w:val="0"/>
                <w:numId w:val="2"/>
              </w:numPr>
              <w:rPr>
                <w:b/>
                <w:sz w:val="20"/>
                <w:szCs w:val="20"/>
                <w:highlight w:val="none"/>
              </w:rPr>
            </w:pPr>
            <w:r>
              <w:rPr>
                <w:rFonts w:hint="eastAsia"/>
                <w:b/>
                <w:sz w:val="20"/>
                <w:szCs w:val="20"/>
                <w:highlight w:val="none"/>
              </w:rPr>
              <w:t>申请人联系方式</w:t>
            </w:r>
          </w:p>
          <w:p w14:paraId="383C3834">
            <w:pPr>
              <w:rPr>
                <w:sz w:val="18"/>
                <w:szCs w:val="18"/>
                <w:highlight w:val="none"/>
              </w:rPr>
            </w:pPr>
            <w:r>
              <w:rPr>
                <w:rFonts w:hint="eastAsia"/>
                <w:b/>
                <w:sz w:val="18"/>
                <w:szCs w:val="18"/>
                <w:highlight w:val="none"/>
              </w:rPr>
              <w:t>＊</w:t>
            </w:r>
            <w:r>
              <w:rPr>
                <w:rFonts w:hint="eastAsia"/>
                <w:sz w:val="18"/>
                <w:szCs w:val="18"/>
                <w:highlight w:val="none"/>
              </w:rPr>
              <w:t xml:space="preserve">住所地或工作单位地址  </w:t>
            </w:r>
            <w:r>
              <w:rPr>
                <w:rFonts w:hint="eastAsia"/>
                <w:sz w:val="18"/>
                <w:szCs w:val="18"/>
                <w:highlight w:val="none"/>
                <w:u w:val="single"/>
              </w:rPr>
              <w:t xml:space="preserve">                                                      </w:t>
            </w:r>
            <w:r>
              <w:rPr>
                <w:rFonts w:hint="eastAsia"/>
                <w:sz w:val="18"/>
                <w:szCs w:val="18"/>
                <w:highlight w:val="none"/>
              </w:rPr>
              <w:t xml:space="preserve">  </w:t>
            </w:r>
            <w:r>
              <w:rPr>
                <w:rFonts w:hint="eastAsia"/>
                <w:b/>
                <w:sz w:val="18"/>
                <w:szCs w:val="18"/>
                <w:highlight w:val="none"/>
              </w:rPr>
              <w:t>＊</w:t>
            </w:r>
            <w:r>
              <w:rPr>
                <w:rFonts w:hint="eastAsia"/>
                <w:sz w:val="18"/>
                <w:szCs w:val="18"/>
                <w:highlight w:val="none"/>
              </w:rPr>
              <w:t xml:space="preserve">邮编  </w:t>
            </w:r>
            <w:r>
              <w:rPr>
                <w:rFonts w:hint="eastAsia"/>
                <w:sz w:val="18"/>
                <w:szCs w:val="18"/>
                <w:highlight w:val="none"/>
                <w:u w:val="single"/>
              </w:rPr>
              <w:t xml:space="preserve">               </w:t>
            </w:r>
          </w:p>
          <w:p w14:paraId="383C3835">
            <w:pPr>
              <w:rPr>
                <w:sz w:val="18"/>
                <w:szCs w:val="18"/>
                <w:highlight w:val="none"/>
              </w:rPr>
            </w:pPr>
            <w:r>
              <w:rPr>
                <w:rFonts w:hint="eastAsia"/>
                <w:b/>
                <w:sz w:val="18"/>
                <w:szCs w:val="18"/>
                <w:highlight w:val="none"/>
              </w:rPr>
              <w:t>＊</w:t>
            </w:r>
            <w:r>
              <w:rPr>
                <w:rFonts w:hint="eastAsia"/>
                <w:sz w:val="18"/>
                <w:szCs w:val="18"/>
                <w:highlight w:val="none"/>
              </w:rPr>
              <w:t xml:space="preserve">手机  </w:t>
            </w:r>
            <w:r>
              <w:rPr>
                <w:rFonts w:hint="eastAsia"/>
                <w:sz w:val="18"/>
                <w:szCs w:val="18"/>
                <w:highlight w:val="none"/>
                <w:u w:val="single"/>
              </w:rPr>
              <w:t xml:space="preserve">                      </w:t>
            </w:r>
            <w:r>
              <w:rPr>
                <w:rFonts w:hint="eastAsia"/>
                <w:sz w:val="18"/>
                <w:szCs w:val="18"/>
                <w:highlight w:val="none"/>
              </w:rPr>
              <w:t xml:space="preserve"> </w:t>
            </w:r>
            <w:r>
              <w:rPr>
                <w:rFonts w:hint="eastAsia"/>
                <w:b/>
                <w:sz w:val="18"/>
                <w:szCs w:val="18"/>
                <w:highlight w:val="none"/>
              </w:rPr>
              <w:t>＊</w:t>
            </w:r>
            <w:r>
              <w:rPr>
                <w:rFonts w:hint="eastAsia"/>
                <w:sz w:val="18"/>
                <w:szCs w:val="18"/>
                <w:highlight w:val="none"/>
              </w:rPr>
              <w:t xml:space="preserve">联系电话 </w:t>
            </w:r>
            <w:r>
              <w:rPr>
                <w:rFonts w:hint="eastAsia"/>
                <w:sz w:val="18"/>
                <w:szCs w:val="18"/>
                <w:highlight w:val="none"/>
                <w:u w:val="single"/>
              </w:rPr>
              <w:t xml:space="preserve">                    </w:t>
            </w:r>
            <w:r>
              <w:rPr>
                <w:rFonts w:hint="eastAsia"/>
                <w:sz w:val="18"/>
                <w:szCs w:val="18"/>
                <w:highlight w:val="none"/>
              </w:rPr>
              <w:t xml:space="preserve"> 传真  </w:t>
            </w:r>
            <w:r>
              <w:rPr>
                <w:rFonts w:hint="eastAsia"/>
                <w:sz w:val="18"/>
                <w:szCs w:val="18"/>
                <w:highlight w:val="none"/>
                <w:u w:val="single"/>
              </w:rPr>
              <w:t xml:space="preserve">           </w:t>
            </w:r>
            <w:r>
              <w:rPr>
                <w:rFonts w:hint="eastAsia"/>
                <w:sz w:val="18"/>
                <w:szCs w:val="18"/>
                <w:highlight w:val="none"/>
              </w:rPr>
              <w:t xml:space="preserve">  E-MAIL  </w:t>
            </w:r>
            <w:r>
              <w:rPr>
                <w:rFonts w:hint="eastAsia"/>
                <w:sz w:val="18"/>
                <w:szCs w:val="18"/>
                <w:highlight w:val="none"/>
                <w:u w:val="single"/>
              </w:rPr>
              <w:t xml:space="preserve">                                    </w:t>
            </w:r>
            <w:r>
              <w:rPr>
                <w:rFonts w:hint="eastAsia"/>
                <w:sz w:val="18"/>
                <w:szCs w:val="18"/>
                <w:highlight w:val="none"/>
              </w:rPr>
              <w:t xml:space="preserve"> </w:t>
            </w:r>
          </w:p>
          <w:p w14:paraId="383C3836">
            <w:pPr>
              <w:rPr>
                <w:sz w:val="18"/>
                <w:szCs w:val="18"/>
                <w:highlight w:val="none"/>
              </w:rPr>
            </w:pPr>
            <w:r>
              <w:rPr>
                <w:rFonts w:hint="eastAsia"/>
                <w:sz w:val="18"/>
                <w:szCs w:val="18"/>
                <w:highlight w:val="none"/>
              </w:rPr>
              <w:t>账单寄送方式 □不需要         □E-mail（电子对账单）            □纸质对账单地址：</w:t>
            </w:r>
          </w:p>
        </w:tc>
      </w:tr>
    </w:tbl>
    <w:p w14:paraId="383C3838">
      <w:pPr>
        <w:spacing w:line="240" w:lineRule="exact"/>
        <w:rPr>
          <w:sz w:val="18"/>
          <w:szCs w:val="18"/>
        </w:rPr>
      </w:pPr>
      <w:r>
        <w:rPr>
          <w:rFonts w:hint="eastAsia"/>
          <w:sz w:val="18"/>
          <w:szCs w:val="18"/>
        </w:rPr>
        <w:t xml:space="preserve"> </w:t>
      </w:r>
    </w:p>
    <w:tbl>
      <w:tblPr>
        <w:tblStyle w:val="7"/>
        <w:tblW w:w="9880" w:type="dxa"/>
        <w:tblInd w:w="-592" w:type="dxa"/>
        <w:tblBorders>
          <w:top w:val="single" w:color="C0C0C0" w:sz="4" w:space="0"/>
          <w:left w:val="single" w:color="C0C0C0" w:sz="4" w:space="0"/>
          <w:bottom w:val="single" w:color="C0C0C0" w:sz="4" w:space="0"/>
          <w:right w:val="single" w:color="C0C0C0" w:sz="4" w:space="0"/>
          <w:insideH w:val="single" w:color="C0C0C0" w:sz="4" w:space="0"/>
          <w:insideV w:val="single" w:color="C0C0C0" w:sz="4" w:space="0"/>
        </w:tblBorders>
        <w:tblLayout w:type="autofit"/>
        <w:tblCellMar>
          <w:top w:w="0" w:type="dxa"/>
          <w:left w:w="108" w:type="dxa"/>
          <w:bottom w:w="0" w:type="dxa"/>
          <w:right w:w="108" w:type="dxa"/>
        </w:tblCellMar>
      </w:tblPr>
      <w:tblGrid>
        <w:gridCol w:w="9880"/>
      </w:tblGrid>
      <w:tr w14:paraId="383C383D">
        <w:tblPrEx>
          <w:tblBorders>
            <w:top w:val="single" w:color="C0C0C0" w:sz="4" w:space="0"/>
            <w:left w:val="single" w:color="C0C0C0" w:sz="4" w:space="0"/>
            <w:bottom w:val="single" w:color="C0C0C0" w:sz="4" w:space="0"/>
            <w:right w:val="single" w:color="C0C0C0" w:sz="4" w:space="0"/>
            <w:insideH w:val="single" w:color="C0C0C0" w:sz="4" w:space="0"/>
            <w:insideV w:val="single" w:color="C0C0C0" w:sz="4" w:space="0"/>
          </w:tblBorders>
          <w:tblCellMar>
            <w:top w:w="0" w:type="dxa"/>
            <w:left w:w="108" w:type="dxa"/>
            <w:bottom w:w="0" w:type="dxa"/>
            <w:right w:w="108" w:type="dxa"/>
          </w:tblCellMar>
        </w:tblPrEx>
        <w:trPr>
          <w:trHeight w:val="1216" w:hRule="atLeast"/>
        </w:trPr>
        <w:tc>
          <w:tcPr>
            <w:tcW w:w="9880" w:type="dxa"/>
            <w:vAlign w:val="center"/>
          </w:tcPr>
          <w:p w14:paraId="383C3839">
            <w:pPr>
              <w:numPr>
                <w:ilvl w:val="0"/>
                <w:numId w:val="3"/>
              </w:numPr>
              <w:rPr>
                <w:sz w:val="18"/>
                <w:szCs w:val="18"/>
              </w:rPr>
            </w:pPr>
            <w:bookmarkStart w:id="0" w:name="_Hlk218711762"/>
            <w:r>
              <w:rPr>
                <w:rFonts w:hint="eastAsia"/>
                <w:b/>
                <w:sz w:val="20"/>
                <w:szCs w:val="20"/>
              </w:rPr>
              <w:t>预留银行账户信息</w:t>
            </w:r>
            <w:r>
              <w:rPr>
                <w:rFonts w:hint="eastAsia"/>
                <w:sz w:val="18"/>
                <w:szCs w:val="18"/>
              </w:rPr>
              <w:t>（本账户将作为认/申购、赎回、现金分红、退款等业务的指定银行结算账户）</w:t>
            </w:r>
          </w:p>
          <w:p w14:paraId="383C383A">
            <w:pPr>
              <w:rPr>
                <w:sz w:val="18"/>
                <w:szCs w:val="18"/>
              </w:rPr>
            </w:pPr>
            <w:r>
              <w:rPr>
                <w:rFonts w:hint="eastAsia"/>
                <w:b/>
                <w:sz w:val="18"/>
                <w:szCs w:val="18"/>
              </w:rPr>
              <w:t>＊</w:t>
            </w:r>
            <w:r>
              <w:rPr>
                <w:rFonts w:hint="eastAsia"/>
                <w:sz w:val="18"/>
                <w:szCs w:val="18"/>
              </w:rPr>
              <w:t xml:space="preserve">银行户名  </w:t>
            </w:r>
            <w:r>
              <w:rPr>
                <w:rFonts w:hint="eastAsia"/>
                <w:sz w:val="18"/>
                <w:szCs w:val="18"/>
                <w:u w:val="single"/>
              </w:rPr>
              <w:t xml:space="preserve">                                   </w:t>
            </w:r>
            <w:r>
              <w:rPr>
                <w:rFonts w:hint="eastAsia"/>
                <w:sz w:val="18"/>
                <w:szCs w:val="18"/>
              </w:rPr>
              <w:t>（银行户名与申请人名称必须保持一致）</w:t>
            </w:r>
          </w:p>
          <w:p w14:paraId="383C383B">
            <w:pPr>
              <w:rPr>
                <w:sz w:val="18"/>
                <w:szCs w:val="18"/>
              </w:rPr>
            </w:pPr>
            <w:r>
              <w:rPr>
                <w:rFonts w:hint="eastAsia"/>
                <w:b/>
                <w:sz w:val="18"/>
                <w:szCs w:val="18"/>
              </w:rPr>
              <w:t>＊</w:t>
            </w:r>
            <w:r>
              <w:rPr>
                <w:rFonts w:hint="eastAsia"/>
                <w:sz w:val="18"/>
                <w:szCs w:val="18"/>
              </w:rPr>
              <w:t xml:space="preserve">银行账号  </w:t>
            </w:r>
            <w:r>
              <w:rPr>
                <w:rFonts w:hint="eastAsia"/>
                <w:sz w:val="18"/>
                <w:szCs w:val="18"/>
                <w:u w:val="single"/>
              </w:rPr>
              <w:t xml:space="preserve">                                                       </w:t>
            </w:r>
          </w:p>
          <w:p w14:paraId="383C383C">
            <w:pPr>
              <w:tabs>
                <w:tab w:val="left" w:pos="2505"/>
              </w:tabs>
              <w:rPr>
                <w:sz w:val="18"/>
                <w:szCs w:val="18"/>
              </w:rPr>
            </w:pPr>
            <w:r>
              <w:rPr>
                <w:rFonts w:hint="eastAsia"/>
                <w:b/>
                <w:sz w:val="18"/>
                <w:szCs w:val="18"/>
              </w:rPr>
              <w:t>＊</w:t>
            </w:r>
            <w:r>
              <w:rPr>
                <w:rFonts w:hint="eastAsia"/>
                <w:sz w:val="18"/>
                <w:szCs w:val="18"/>
              </w:rPr>
              <w:t xml:space="preserve">开户银行属地     省 　  市   开户银行名称 </w:t>
            </w:r>
            <w:r>
              <w:rPr>
                <w:rFonts w:hint="eastAsia"/>
                <w:sz w:val="18"/>
                <w:szCs w:val="18"/>
                <w:u w:val="single"/>
              </w:rPr>
              <w:t xml:space="preserve">                                        </w:t>
            </w:r>
            <w:r>
              <w:rPr>
                <w:rFonts w:hint="eastAsia"/>
                <w:sz w:val="18"/>
                <w:szCs w:val="18"/>
              </w:rPr>
              <w:t>（请填写详细的银行网点）</w:t>
            </w:r>
          </w:p>
        </w:tc>
      </w:tr>
      <w:bookmarkEnd w:id="0"/>
    </w:tbl>
    <w:p w14:paraId="383C383E">
      <w:pPr>
        <w:rPr>
          <w:rFonts w:hint="eastAsia"/>
          <w:vanish/>
        </w:rPr>
      </w:pPr>
    </w:p>
    <w:tbl>
      <w:tblPr>
        <w:tblStyle w:val="7"/>
        <w:tblpPr w:leftFromText="180" w:rightFromText="180" w:vertAnchor="text" w:horzAnchor="margin" w:tblpX="-612" w:tblpY="224"/>
        <w:tblW w:w="0" w:type="auto"/>
        <w:tblInd w:w="0" w:type="dxa"/>
        <w:tblBorders>
          <w:top w:val="single" w:color="C0C0C0" w:sz="4" w:space="0"/>
          <w:left w:val="single" w:color="C0C0C0" w:sz="4" w:space="0"/>
          <w:bottom w:val="single" w:color="C0C0C0" w:sz="4" w:space="0"/>
          <w:right w:val="single" w:color="C0C0C0" w:sz="4" w:space="0"/>
          <w:insideH w:val="single" w:color="C0C0C0" w:sz="4" w:space="0"/>
          <w:insideV w:val="single" w:color="C0C0C0" w:sz="4" w:space="0"/>
        </w:tblBorders>
        <w:tblLayout w:type="fixed"/>
        <w:tblCellMar>
          <w:top w:w="0" w:type="dxa"/>
          <w:left w:w="108" w:type="dxa"/>
          <w:bottom w:w="0" w:type="dxa"/>
          <w:right w:w="108" w:type="dxa"/>
        </w:tblCellMar>
      </w:tblPr>
      <w:tblGrid>
        <w:gridCol w:w="9866"/>
      </w:tblGrid>
      <w:tr w14:paraId="383C3848">
        <w:tblPrEx>
          <w:tblBorders>
            <w:top w:val="single" w:color="C0C0C0" w:sz="4" w:space="0"/>
            <w:left w:val="single" w:color="C0C0C0" w:sz="4" w:space="0"/>
            <w:bottom w:val="single" w:color="C0C0C0" w:sz="4" w:space="0"/>
            <w:right w:val="single" w:color="C0C0C0" w:sz="4" w:space="0"/>
            <w:insideH w:val="single" w:color="C0C0C0" w:sz="4" w:space="0"/>
            <w:insideV w:val="single" w:color="C0C0C0" w:sz="4" w:space="0"/>
          </w:tblBorders>
          <w:tblCellMar>
            <w:top w:w="0" w:type="dxa"/>
            <w:left w:w="108" w:type="dxa"/>
            <w:bottom w:w="0" w:type="dxa"/>
            <w:right w:w="108" w:type="dxa"/>
          </w:tblCellMar>
        </w:tblPrEx>
        <w:trPr>
          <w:trHeight w:val="1838" w:hRule="atLeast"/>
        </w:trPr>
        <w:tc>
          <w:tcPr>
            <w:tcW w:w="9866" w:type="dxa"/>
          </w:tcPr>
          <w:p w14:paraId="383C383F">
            <w:pPr>
              <w:tabs>
                <w:tab w:val="left" w:pos="2505"/>
              </w:tabs>
              <w:rPr>
                <w:sz w:val="18"/>
                <w:szCs w:val="18"/>
              </w:rPr>
            </w:pPr>
            <w:r>
              <w:rPr>
                <w:rFonts w:hint="eastAsia"/>
                <w:sz w:val="18"/>
                <w:szCs w:val="18"/>
              </w:rPr>
              <w:t xml:space="preserve">◆  </w:t>
            </w:r>
            <w:r>
              <w:rPr>
                <w:rFonts w:hint="eastAsia"/>
                <w:b/>
                <w:sz w:val="20"/>
                <w:szCs w:val="20"/>
              </w:rPr>
              <w:t>申请人附属信息</w:t>
            </w:r>
          </w:p>
          <w:p w14:paraId="383C3840">
            <w:pPr>
              <w:rPr>
                <w:sz w:val="18"/>
                <w:szCs w:val="18"/>
                <w:highlight w:val="none"/>
                <w:u w:val="single"/>
              </w:rPr>
            </w:pPr>
            <w:r>
              <w:rPr>
                <w:rFonts w:hint="eastAsia"/>
                <w:sz w:val="18"/>
                <w:szCs w:val="18"/>
                <w:highlight w:val="none"/>
              </w:rPr>
              <w:t xml:space="preserve">单位名称  </w:t>
            </w:r>
            <w:r>
              <w:rPr>
                <w:rFonts w:hint="eastAsia"/>
                <w:sz w:val="18"/>
                <w:szCs w:val="18"/>
                <w:highlight w:val="none"/>
                <w:u w:val="single"/>
              </w:rPr>
              <w:t xml:space="preserve">                                        </w:t>
            </w:r>
            <w:r>
              <w:rPr>
                <w:rFonts w:hint="eastAsia"/>
                <w:sz w:val="18"/>
                <w:szCs w:val="18"/>
                <w:highlight w:val="none"/>
              </w:rPr>
              <w:t xml:space="preserve"> 　职业  </w:t>
            </w:r>
            <w:r>
              <w:rPr>
                <w:rFonts w:hint="eastAsia"/>
                <w:sz w:val="18"/>
                <w:szCs w:val="18"/>
                <w:highlight w:val="none"/>
                <w:u w:val="single"/>
              </w:rPr>
              <w:t xml:space="preserve">                  </w:t>
            </w:r>
          </w:p>
          <w:p w14:paraId="383C3841">
            <w:pPr>
              <w:tabs>
                <w:tab w:val="left" w:pos="2505"/>
              </w:tabs>
              <w:rPr>
                <w:sz w:val="18"/>
                <w:szCs w:val="18"/>
                <w:highlight w:val="none"/>
              </w:rPr>
            </w:pPr>
            <w:r>
              <w:rPr>
                <w:rFonts w:hint="eastAsia"/>
                <w:b/>
                <w:sz w:val="18"/>
                <w:szCs w:val="18"/>
                <w:highlight w:val="none"/>
              </w:rPr>
              <w:t>＊</w:t>
            </w:r>
            <w:r>
              <w:rPr>
                <w:rFonts w:hint="eastAsia"/>
                <w:sz w:val="18"/>
                <w:szCs w:val="18"/>
                <w:highlight w:val="none"/>
              </w:rPr>
              <w:t xml:space="preserve">职业类型 □党政机关/事业单位 </w:t>
            </w:r>
            <w:r>
              <w:rPr>
                <w:rFonts w:hint="eastAsia" w:ascii="宋体" w:hAnsi="宋体"/>
                <w:sz w:val="18"/>
                <w:szCs w:val="18"/>
                <w:highlight w:val="none"/>
              </w:rPr>
              <w:t xml:space="preserve">□企业单位 □金融 □个体户/自由职业 □学生 □军人 □退休人员 </w:t>
            </w:r>
          </w:p>
          <w:p w14:paraId="383C3842">
            <w:pPr>
              <w:rPr>
                <w:sz w:val="18"/>
                <w:szCs w:val="18"/>
                <w:highlight w:val="none"/>
              </w:rPr>
            </w:pPr>
            <w:r>
              <w:rPr>
                <w:rFonts w:hint="eastAsia"/>
                <w:sz w:val="18"/>
                <w:szCs w:val="18"/>
                <w:highlight w:val="none"/>
              </w:rPr>
              <w:t xml:space="preserve">学历 □初中及以下 □高中/中专 □大专/本科 □研究生以上 年收入 □5万以下 □5万元—20万元 </w:t>
            </w:r>
          </w:p>
          <w:p w14:paraId="383C3843">
            <w:pPr>
              <w:rPr>
                <w:sz w:val="18"/>
                <w:szCs w:val="18"/>
                <w:highlight w:val="none"/>
              </w:rPr>
            </w:pPr>
            <w:r>
              <w:rPr>
                <w:rFonts w:hint="eastAsia"/>
                <w:sz w:val="18"/>
                <w:szCs w:val="18"/>
                <w:highlight w:val="none"/>
              </w:rPr>
              <w:t xml:space="preserve">□20万元—50万元    □50万元以上 </w:t>
            </w:r>
          </w:p>
          <w:p w14:paraId="383C3844">
            <w:pPr>
              <w:rPr>
                <w:sz w:val="18"/>
                <w:szCs w:val="18"/>
                <w:highlight w:val="none"/>
                <w:u w:val="single"/>
              </w:rPr>
            </w:pPr>
            <w:r>
              <w:rPr>
                <w:rFonts w:hint="eastAsia"/>
                <w:b/>
                <w:sz w:val="18"/>
                <w:szCs w:val="18"/>
                <w:highlight w:val="none"/>
              </w:rPr>
              <w:t>＊</w:t>
            </w:r>
            <w:r>
              <w:rPr>
                <w:rFonts w:hint="eastAsia"/>
                <w:sz w:val="18"/>
                <w:szCs w:val="18"/>
                <w:highlight w:val="none"/>
              </w:rPr>
              <w:t>诚信记录□无</w:t>
            </w:r>
            <w:r>
              <w:rPr>
                <w:sz w:val="18"/>
                <w:szCs w:val="18"/>
                <w:highlight w:val="none"/>
              </w:rPr>
              <w:t>问题</w:t>
            </w:r>
            <w:r>
              <w:rPr>
                <w:rFonts w:hint="eastAsia"/>
                <w:sz w:val="18"/>
                <w:szCs w:val="18"/>
                <w:highlight w:val="none"/>
              </w:rPr>
              <w:t xml:space="preserve"> □有问题 描述（发生</w:t>
            </w:r>
            <w:r>
              <w:rPr>
                <w:sz w:val="18"/>
                <w:szCs w:val="18"/>
                <w:highlight w:val="none"/>
              </w:rPr>
              <w:t>时间和问题</w:t>
            </w:r>
            <w:r>
              <w:rPr>
                <w:rFonts w:hint="eastAsia"/>
                <w:sz w:val="18"/>
                <w:szCs w:val="18"/>
                <w:highlight w:val="none"/>
              </w:rPr>
              <w:t>）</w:t>
            </w:r>
            <w:r>
              <w:rPr>
                <w:sz w:val="18"/>
                <w:szCs w:val="18"/>
                <w:highlight w:val="none"/>
              </w:rPr>
              <w:t>：</w:t>
            </w:r>
            <w:r>
              <w:rPr>
                <w:rFonts w:hint="eastAsia"/>
                <w:sz w:val="18"/>
                <w:szCs w:val="18"/>
                <w:highlight w:val="none"/>
                <w:u w:val="single"/>
              </w:rPr>
              <w:t xml:space="preserve">                              </w:t>
            </w:r>
            <w:r>
              <w:rPr>
                <w:sz w:val="18"/>
                <w:szCs w:val="18"/>
                <w:highlight w:val="none"/>
                <w:u w:val="single"/>
              </w:rPr>
              <w:t xml:space="preserve">   </w:t>
            </w:r>
            <w:r>
              <w:rPr>
                <w:rFonts w:hint="eastAsia"/>
                <w:sz w:val="18"/>
                <w:szCs w:val="18"/>
                <w:highlight w:val="none"/>
                <w:u w:val="single"/>
              </w:rPr>
              <w:t xml:space="preserve">        </w:t>
            </w:r>
            <w:r>
              <w:rPr>
                <w:sz w:val="18"/>
                <w:szCs w:val="18"/>
                <w:highlight w:val="none"/>
                <w:u w:val="single"/>
              </w:rPr>
              <w:t xml:space="preserve">         </w:t>
            </w:r>
          </w:p>
          <w:p w14:paraId="383C3845">
            <w:pPr>
              <w:rPr>
                <w:sz w:val="18"/>
                <w:szCs w:val="18"/>
                <w:highlight w:val="none"/>
              </w:rPr>
            </w:pPr>
            <w:r>
              <w:rPr>
                <w:rFonts w:hint="eastAsia"/>
                <w:b/>
                <w:sz w:val="18"/>
                <w:szCs w:val="18"/>
                <w:highlight w:val="none"/>
              </w:rPr>
              <w:t>＊</w:t>
            </w:r>
            <w:r>
              <w:rPr>
                <w:rFonts w:hint="eastAsia"/>
                <w:sz w:val="18"/>
                <w:szCs w:val="18"/>
                <w:highlight w:val="none"/>
              </w:rPr>
              <w:t>账户实际</w:t>
            </w:r>
            <w:r>
              <w:rPr>
                <w:sz w:val="18"/>
                <w:szCs w:val="18"/>
                <w:highlight w:val="none"/>
              </w:rPr>
              <w:t>控制人</w:t>
            </w:r>
            <w:r>
              <w:rPr>
                <w:rFonts w:hint="eastAsia"/>
                <w:sz w:val="18"/>
                <w:szCs w:val="18"/>
                <w:highlight w:val="none"/>
              </w:rPr>
              <w:t>、</w:t>
            </w:r>
            <w:r>
              <w:rPr>
                <w:sz w:val="18"/>
                <w:szCs w:val="18"/>
                <w:highlight w:val="none"/>
              </w:rPr>
              <w:t>受益人</w:t>
            </w:r>
            <w:r>
              <w:rPr>
                <w:rFonts w:hint="eastAsia"/>
                <w:sz w:val="18"/>
                <w:szCs w:val="18"/>
                <w:highlight w:val="none"/>
              </w:rPr>
              <w:t>是否</w:t>
            </w:r>
            <w:r>
              <w:rPr>
                <w:sz w:val="18"/>
                <w:szCs w:val="18"/>
                <w:highlight w:val="none"/>
              </w:rPr>
              <w:t>本人</w:t>
            </w:r>
            <w:r>
              <w:rPr>
                <w:rFonts w:hint="eastAsia"/>
                <w:sz w:val="18"/>
                <w:szCs w:val="18"/>
                <w:highlight w:val="none"/>
              </w:rPr>
              <w:t>□是    □否（</w:t>
            </w:r>
            <w:r>
              <w:rPr>
                <w:sz w:val="18"/>
                <w:szCs w:val="18"/>
                <w:highlight w:val="none"/>
              </w:rPr>
              <w:t>填写</w:t>
            </w:r>
            <w:r>
              <w:rPr>
                <w:rFonts w:hint="eastAsia"/>
                <w:sz w:val="18"/>
                <w:szCs w:val="18"/>
                <w:highlight w:val="none"/>
              </w:rPr>
              <w:t>下列</w:t>
            </w:r>
            <w:r>
              <w:rPr>
                <w:sz w:val="18"/>
                <w:szCs w:val="18"/>
                <w:highlight w:val="none"/>
              </w:rPr>
              <w:t>信息</w:t>
            </w:r>
            <w:r>
              <w:rPr>
                <w:rFonts w:hint="eastAsia"/>
                <w:sz w:val="18"/>
                <w:szCs w:val="18"/>
                <w:highlight w:val="none"/>
              </w:rPr>
              <w:t>）</w:t>
            </w:r>
          </w:p>
          <w:p w14:paraId="383C3846">
            <w:pPr>
              <w:rPr>
                <w:sz w:val="18"/>
                <w:szCs w:val="18"/>
                <w:highlight w:val="none"/>
                <w:u w:val="single"/>
              </w:rPr>
            </w:pPr>
            <w:r>
              <w:rPr>
                <w:rFonts w:hint="eastAsia"/>
                <w:sz w:val="18"/>
                <w:szCs w:val="18"/>
                <w:highlight w:val="none"/>
              </w:rPr>
              <w:t>账户实际</w:t>
            </w:r>
            <w:r>
              <w:rPr>
                <w:sz w:val="18"/>
                <w:szCs w:val="18"/>
                <w:highlight w:val="none"/>
              </w:rPr>
              <w:t>控制人</w:t>
            </w:r>
            <w:r>
              <w:rPr>
                <w:rFonts w:hint="eastAsia"/>
                <w:sz w:val="18"/>
                <w:szCs w:val="18"/>
                <w:highlight w:val="none"/>
              </w:rPr>
              <w:t>、</w:t>
            </w:r>
            <w:r>
              <w:rPr>
                <w:sz w:val="18"/>
                <w:szCs w:val="18"/>
                <w:highlight w:val="none"/>
              </w:rPr>
              <w:t>受益人姓名</w:t>
            </w:r>
            <w:r>
              <w:rPr>
                <w:rFonts w:hint="eastAsia"/>
                <w:sz w:val="18"/>
                <w:szCs w:val="18"/>
                <w:highlight w:val="none"/>
                <w:u w:val="single"/>
              </w:rPr>
              <w:t xml:space="preserve">  </w:t>
            </w:r>
            <w:r>
              <w:rPr>
                <w:sz w:val="18"/>
                <w:szCs w:val="18"/>
                <w:highlight w:val="none"/>
                <w:u w:val="single"/>
              </w:rPr>
              <w:t xml:space="preserve">      </w:t>
            </w:r>
            <w:r>
              <w:rPr>
                <w:rFonts w:hint="eastAsia"/>
                <w:sz w:val="18"/>
                <w:szCs w:val="18"/>
                <w:highlight w:val="none"/>
                <w:u w:val="single"/>
              </w:rPr>
              <w:t xml:space="preserve">      </w:t>
            </w:r>
            <w:r>
              <w:rPr>
                <w:rFonts w:hint="eastAsia"/>
                <w:sz w:val="18"/>
                <w:szCs w:val="18"/>
                <w:highlight w:val="none"/>
              </w:rPr>
              <w:t>证件</w:t>
            </w:r>
            <w:r>
              <w:rPr>
                <w:sz w:val="18"/>
                <w:szCs w:val="18"/>
                <w:highlight w:val="none"/>
              </w:rPr>
              <w:t>类型及</w:t>
            </w:r>
            <w:r>
              <w:rPr>
                <w:rFonts w:hint="eastAsia"/>
                <w:sz w:val="18"/>
                <w:szCs w:val="18"/>
                <w:highlight w:val="none"/>
              </w:rPr>
              <w:t>号码</w:t>
            </w:r>
            <w:r>
              <w:rPr>
                <w:rFonts w:hint="eastAsia"/>
                <w:sz w:val="18"/>
                <w:szCs w:val="18"/>
                <w:highlight w:val="none"/>
                <w:u w:val="single"/>
              </w:rPr>
              <w:t xml:space="preserve">   </w:t>
            </w:r>
            <w:r>
              <w:rPr>
                <w:sz w:val="18"/>
                <w:szCs w:val="18"/>
                <w:highlight w:val="none"/>
                <w:u w:val="single"/>
              </w:rPr>
              <w:t xml:space="preserve">                      </w:t>
            </w:r>
            <w:r>
              <w:rPr>
                <w:rFonts w:hint="eastAsia"/>
                <w:sz w:val="18"/>
                <w:szCs w:val="18"/>
                <w:highlight w:val="none"/>
                <w:u w:val="single"/>
              </w:rPr>
              <w:t xml:space="preserve">    </w:t>
            </w:r>
          </w:p>
          <w:p w14:paraId="383C3847">
            <w:pPr>
              <w:rPr>
                <w:sz w:val="18"/>
                <w:szCs w:val="18"/>
              </w:rPr>
            </w:pPr>
            <w:r>
              <w:rPr>
                <w:rFonts w:hint="eastAsia"/>
                <w:sz w:val="18"/>
                <w:szCs w:val="18"/>
                <w:highlight w:val="none"/>
              </w:rPr>
              <w:t>证件</w:t>
            </w:r>
            <w:r>
              <w:rPr>
                <w:sz w:val="18"/>
                <w:szCs w:val="18"/>
                <w:highlight w:val="none"/>
              </w:rPr>
              <w:t>有效期</w:t>
            </w:r>
            <w:r>
              <w:rPr>
                <w:rFonts w:hint="eastAsia"/>
                <w:sz w:val="18"/>
                <w:szCs w:val="18"/>
                <w:highlight w:val="none"/>
                <w:u w:val="single"/>
              </w:rPr>
              <w:t xml:space="preserve"> </w:t>
            </w:r>
            <w:r>
              <w:rPr>
                <w:sz w:val="18"/>
                <w:szCs w:val="18"/>
                <w:highlight w:val="none"/>
                <w:u w:val="single"/>
              </w:rPr>
              <w:t xml:space="preserve">    </w:t>
            </w:r>
            <w:r>
              <w:rPr>
                <w:rFonts w:hint="eastAsia"/>
                <w:sz w:val="18"/>
                <w:szCs w:val="18"/>
                <w:highlight w:val="none"/>
                <w:u w:val="single"/>
              </w:rPr>
              <w:t xml:space="preserve">     </w:t>
            </w:r>
            <w:r>
              <w:rPr>
                <w:sz w:val="18"/>
                <w:szCs w:val="18"/>
                <w:highlight w:val="none"/>
                <w:u w:val="single"/>
              </w:rPr>
              <w:t xml:space="preserve">  </w:t>
            </w:r>
            <w:r>
              <w:rPr>
                <w:rFonts w:hint="eastAsia"/>
                <w:sz w:val="18"/>
                <w:szCs w:val="18"/>
                <w:highlight w:val="none"/>
                <w:u w:val="none"/>
              </w:rPr>
              <w:t>至</w:t>
            </w:r>
            <w:r>
              <w:rPr>
                <w:sz w:val="18"/>
                <w:szCs w:val="18"/>
                <w:highlight w:val="none"/>
                <w:u w:val="single"/>
              </w:rPr>
              <w:t xml:space="preserve">    </w:t>
            </w:r>
            <w:r>
              <w:rPr>
                <w:rFonts w:hint="eastAsia"/>
                <w:sz w:val="18"/>
                <w:szCs w:val="18"/>
                <w:highlight w:val="none"/>
                <w:u w:val="single"/>
              </w:rPr>
              <w:t xml:space="preserve">       </w:t>
            </w:r>
            <w:r>
              <w:rPr>
                <w:sz w:val="18"/>
                <w:szCs w:val="18"/>
                <w:highlight w:val="none"/>
                <w:u w:val="single"/>
              </w:rPr>
              <w:t xml:space="preserve">   </w:t>
            </w:r>
            <w:r>
              <w:rPr>
                <w:rFonts w:hint="eastAsia"/>
                <w:sz w:val="18"/>
                <w:szCs w:val="18"/>
                <w:highlight w:val="none"/>
                <w:u w:val="single"/>
              </w:rPr>
              <w:t xml:space="preserve"> </w:t>
            </w:r>
            <w:r>
              <w:rPr>
                <w:rFonts w:hint="eastAsia"/>
                <w:sz w:val="18"/>
                <w:szCs w:val="18"/>
                <w:highlight w:val="none"/>
                <w:u w:val="none"/>
              </w:rPr>
              <w:t xml:space="preserve">  </w:t>
            </w:r>
            <w:r>
              <w:rPr>
                <w:rFonts w:hint="eastAsia"/>
                <w:sz w:val="18"/>
                <w:szCs w:val="18"/>
                <w:highlight w:val="none"/>
              </w:rPr>
              <w:t>手机</w:t>
            </w:r>
            <w:r>
              <w:rPr>
                <w:rFonts w:hint="eastAsia"/>
                <w:sz w:val="18"/>
                <w:szCs w:val="18"/>
                <w:highlight w:val="none"/>
                <w:u w:val="single"/>
              </w:rPr>
              <w:t xml:space="preserve"> </w:t>
            </w:r>
            <w:r>
              <w:rPr>
                <w:sz w:val="18"/>
                <w:szCs w:val="18"/>
                <w:highlight w:val="none"/>
                <w:u w:val="single"/>
              </w:rPr>
              <w:t xml:space="preserve">                </w:t>
            </w:r>
            <w:r>
              <w:rPr>
                <w:sz w:val="18"/>
                <w:szCs w:val="18"/>
                <w:highlight w:val="none"/>
                <w:u w:val="none"/>
              </w:rPr>
              <w:t xml:space="preserve"> </w:t>
            </w:r>
            <w:r>
              <w:rPr>
                <w:rFonts w:hint="eastAsia"/>
                <w:sz w:val="18"/>
                <w:szCs w:val="18"/>
                <w:highlight w:val="none"/>
                <w:u w:val="none"/>
              </w:rPr>
              <w:t xml:space="preserve"> </w:t>
            </w:r>
            <w:r>
              <w:rPr>
                <w:rFonts w:hint="eastAsia"/>
                <w:sz w:val="18"/>
                <w:szCs w:val="18"/>
                <w:highlight w:val="none"/>
              </w:rPr>
              <w:t>与申请人关系</w:t>
            </w:r>
            <w:r>
              <w:rPr>
                <w:rFonts w:hint="eastAsia"/>
                <w:sz w:val="18"/>
                <w:szCs w:val="18"/>
                <w:highlight w:val="none"/>
                <w:u w:val="single"/>
              </w:rPr>
              <w:t xml:space="preserve">  </w:t>
            </w:r>
            <w:r>
              <w:rPr>
                <w:sz w:val="18"/>
                <w:szCs w:val="18"/>
                <w:highlight w:val="none"/>
                <w:u w:val="single"/>
              </w:rPr>
              <w:t xml:space="preserve">             </w:t>
            </w:r>
            <w:r>
              <w:rPr>
                <w:rFonts w:hint="eastAsia"/>
                <w:sz w:val="18"/>
                <w:szCs w:val="18"/>
                <w:highlight w:val="none"/>
                <w:u w:val="single"/>
              </w:rPr>
              <w:t xml:space="preserve">      </w:t>
            </w:r>
          </w:p>
        </w:tc>
      </w:tr>
    </w:tbl>
    <w:p w14:paraId="6456D507">
      <w:pPr>
        <w:spacing w:line="240" w:lineRule="exact"/>
        <w:rPr>
          <w:rFonts w:hint="eastAsia"/>
          <w:sz w:val="18"/>
          <w:szCs w:val="18"/>
        </w:rPr>
      </w:pPr>
    </w:p>
    <w:tbl>
      <w:tblPr>
        <w:tblStyle w:val="7"/>
        <w:tblW w:w="9880" w:type="dxa"/>
        <w:tblInd w:w="-592" w:type="dxa"/>
        <w:tblBorders>
          <w:top w:val="single" w:color="C0C0C0" w:sz="4" w:space="0"/>
          <w:left w:val="single" w:color="C0C0C0" w:sz="4" w:space="0"/>
          <w:bottom w:val="single" w:color="C0C0C0" w:sz="4" w:space="0"/>
          <w:right w:val="single" w:color="C0C0C0" w:sz="4" w:space="0"/>
          <w:insideH w:val="single" w:color="C0C0C0" w:sz="4" w:space="0"/>
          <w:insideV w:val="single" w:color="C0C0C0" w:sz="4" w:space="0"/>
        </w:tblBorders>
        <w:tblLayout w:type="autofit"/>
        <w:tblCellMar>
          <w:top w:w="0" w:type="dxa"/>
          <w:left w:w="108" w:type="dxa"/>
          <w:bottom w:w="0" w:type="dxa"/>
          <w:right w:w="108" w:type="dxa"/>
        </w:tblCellMar>
      </w:tblPr>
      <w:tblGrid>
        <w:gridCol w:w="9880"/>
      </w:tblGrid>
      <w:tr w14:paraId="40E35BDE">
        <w:tblPrEx>
          <w:tblBorders>
            <w:top w:val="single" w:color="C0C0C0" w:sz="4" w:space="0"/>
            <w:left w:val="single" w:color="C0C0C0" w:sz="4" w:space="0"/>
            <w:bottom w:val="single" w:color="C0C0C0" w:sz="4" w:space="0"/>
            <w:right w:val="single" w:color="C0C0C0" w:sz="4" w:space="0"/>
            <w:insideH w:val="single" w:color="C0C0C0" w:sz="4" w:space="0"/>
            <w:insideV w:val="single" w:color="C0C0C0" w:sz="4" w:space="0"/>
          </w:tblBorders>
          <w:tblCellMar>
            <w:top w:w="0" w:type="dxa"/>
            <w:left w:w="108" w:type="dxa"/>
            <w:bottom w:w="0" w:type="dxa"/>
            <w:right w:w="108" w:type="dxa"/>
          </w:tblCellMar>
        </w:tblPrEx>
        <w:trPr>
          <w:trHeight w:val="1216" w:hRule="atLeast"/>
        </w:trPr>
        <w:tc>
          <w:tcPr>
            <w:tcW w:w="9880" w:type="dxa"/>
            <w:vAlign w:val="center"/>
          </w:tcPr>
          <w:p w14:paraId="55B75535">
            <w:pPr>
              <w:numPr>
                <w:ilvl w:val="0"/>
                <w:numId w:val="3"/>
              </w:numPr>
              <w:rPr>
                <w:sz w:val="18"/>
                <w:szCs w:val="18"/>
                <w:highlight w:val="none"/>
              </w:rPr>
            </w:pPr>
            <w:r>
              <w:rPr>
                <w:rFonts w:hint="eastAsia"/>
                <w:b/>
                <w:sz w:val="20"/>
                <w:szCs w:val="20"/>
                <w:highlight w:val="none"/>
              </w:rPr>
              <w:t>代理人信息</w:t>
            </w:r>
            <w:r>
              <w:rPr>
                <w:rFonts w:hint="eastAsia"/>
                <w:sz w:val="18"/>
                <w:szCs w:val="18"/>
                <w:highlight w:val="none"/>
              </w:rPr>
              <w:t>（如有）</w:t>
            </w:r>
          </w:p>
          <w:p w14:paraId="754CAD97">
            <w:pPr>
              <w:rPr>
                <w:sz w:val="18"/>
                <w:szCs w:val="18"/>
                <w:highlight w:val="none"/>
              </w:rPr>
            </w:pPr>
            <w:r>
              <w:rPr>
                <w:rFonts w:hint="eastAsia"/>
                <w:b/>
                <w:sz w:val="18"/>
                <w:szCs w:val="18"/>
                <w:highlight w:val="none"/>
              </w:rPr>
              <w:t>＊</w:t>
            </w:r>
            <w:r>
              <w:rPr>
                <w:rFonts w:hint="eastAsia"/>
                <w:sz w:val="18"/>
                <w:szCs w:val="18"/>
                <w:highlight w:val="none"/>
              </w:rPr>
              <w:t xml:space="preserve">代理人姓名或名称  </w:t>
            </w:r>
            <w:r>
              <w:rPr>
                <w:rFonts w:hint="eastAsia"/>
                <w:sz w:val="18"/>
                <w:szCs w:val="18"/>
                <w:highlight w:val="none"/>
                <w:u w:val="single"/>
              </w:rPr>
              <w:t xml:space="preserve">                                  </w:t>
            </w:r>
            <w:r>
              <w:rPr>
                <w:rFonts w:hint="eastAsia"/>
                <w:sz w:val="18"/>
                <w:szCs w:val="18"/>
                <w:highlight w:val="none"/>
              </w:rPr>
              <w:t xml:space="preserve"> </w:t>
            </w:r>
            <w:r>
              <w:rPr>
                <w:rFonts w:hint="eastAsia"/>
                <w:b/>
                <w:sz w:val="18"/>
                <w:szCs w:val="18"/>
                <w:highlight w:val="none"/>
              </w:rPr>
              <w:t>＊</w:t>
            </w:r>
            <w:r>
              <w:rPr>
                <w:rFonts w:hint="eastAsia"/>
                <w:sz w:val="18"/>
                <w:szCs w:val="18"/>
                <w:highlight w:val="none"/>
              </w:rPr>
              <w:t xml:space="preserve">联系电话 </w:t>
            </w:r>
            <w:r>
              <w:rPr>
                <w:rFonts w:hint="eastAsia"/>
                <w:sz w:val="18"/>
                <w:szCs w:val="18"/>
                <w:highlight w:val="none"/>
                <w:u w:val="single"/>
              </w:rPr>
              <w:t xml:space="preserve">                         </w:t>
            </w:r>
          </w:p>
          <w:p w14:paraId="057DA9AF">
            <w:pPr>
              <w:rPr>
                <w:rFonts w:hint="eastAsia"/>
                <w:sz w:val="18"/>
                <w:szCs w:val="18"/>
              </w:rPr>
            </w:pPr>
            <w:r>
              <w:rPr>
                <w:rFonts w:hint="eastAsia"/>
                <w:b/>
                <w:sz w:val="18"/>
                <w:szCs w:val="18"/>
                <w:highlight w:val="none"/>
              </w:rPr>
              <w:t>＊</w:t>
            </w:r>
            <w:r>
              <w:rPr>
                <w:rFonts w:hint="eastAsia"/>
                <w:bCs/>
                <w:sz w:val="18"/>
                <w:szCs w:val="18"/>
                <w:highlight w:val="none"/>
              </w:rPr>
              <w:t>证件类型</w:t>
            </w:r>
            <w:r>
              <w:rPr>
                <w:rFonts w:hint="eastAsia"/>
                <w:sz w:val="18"/>
                <w:szCs w:val="18"/>
                <w:highlight w:val="none"/>
              </w:rPr>
              <w:t xml:space="preserve">  </w:t>
            </w:r>
            <w:r>
              <w:rPr>
                <w:rFonts w:hint="eastAsia"/>
                <w:sz w:val="18"/>
                <w:szCs w:val="18"/>
                <w:highlight w:val="none"/>
                <w:u w:val="single"/>
              </w:rPr>
              <w:t xml:space="preserve">                               </w:t>
            </w:r>
            <w:r>
              <w:rPr>
                <w:rFonts w:hint="eastAsia"/>
                <w:sz w:val="18"/>
                <w:szCs w:val="18"/>
                <w:highlight w:val="none"/>
              </w:rPr>
              <w:t xml:space="preserve"> </w:t>
            </w:r>
            <w:r>
              <w:rPr>
                <w:rFonts w:hint="eastAsia"/>
                <w:b/>
                <w:sz w:val="18"/>
                <w:szCs w:val="18"/>
                <w:highlight w:val="none"/>
              </w:rPr>
              <w:t>＊</w:t>
            </w:r>
            <w:r>
              <w:rPr>
                <w:rFonts w:hint="eastAsia"/>
                <w:bCs/>
                <w:sz w:val="18"/>
                <w:szCs w:val="18"/>
                <w:highlight w:val="none"/>
              </w:rPr>
              <w:t>证件号码</w:t>
            </w:r>
            <w:r>
              <w:rPr>
                <w:rFonts w:hint="eastAsia"/>
                <w:sz w:val="18"/>
                <w:szCs w:val="18"/>
                <w:highlight w:val="none"/>
              </w:rPr>
              <w:t xml:space="preserve"> </w:t>
            </w:r>
            <w:r>
              <w:rPr>
                <w:rFonts w:hint="eastAsia"/>
                <w:sz w:val="18"/>
                <w:szCs w:val="18"/>
                <w:highlight w:val="none"/>
                <w:u w:val="single"/>
              </w:rPr>
              <w:t xml:space="preserve">                                    </w:t>
            </w:r>
          </w:p>
        </w:tc>
      </w:tr>
    </w:tbl>
    <w:p w14:paraId="369239A1">
      <w:pPr>
        <w:spacing w:line="240" w:lineRule="exact"/>
        <w:rPr>
          <w:sz w:val="18"/>
          <w:szCs w:val="18"/>
        </w:rPr>
      </w:pPr>
    </w:p>
    <w:p w14:paraId="317A357C">
      <w:pPr>
        <w:spacing w:line="240" w:lineRule="exact"/>
        <w:rPr>
          <w:sz w:val="18"/>
          <w:szCs w:val="18"/>
        </w:rPr>
      </w:pPr>
    </w:p>
    <w:p w14:paraId="2C206FFA">
      <w:pPr>
        <w:spacing w:line="240" w:lineRule="exact"/>
        <w:rPr>
          <w:rFonts w:hint="eastAsia"/>
          <w:sz w:val="18"/>
          <w:szCs w:val="18"/>
        </w:rPr>
      </w:pPr>
    </w:p>
    <w:tbl>
      <w:tblPr>
        <w:tblStyle w:val="7"/>
        <w:tblW w:w="9919" w:type="dxa"/>
        <w:tblInd w:w="-631" w:type="dxa"/>
        <w:tblBorders>
          <w:top w:val="single" w:color="C0C0C0" w:sz="4" w:space="0"/>
          <w:left w:val="single" w:color="C0C0C0" w:sz="4" w:space="0"/>
          <w:bottom w:val="single" w:color="C0C0C0" w:sz="4" w:space="0"/>
          <w:right w:val="single" w:color="C0C0C0" w:sz="4" w:space="0"/>
          <w:insideH w:val="single" w:color="C0C0C0" w:sz="4" w:space="0"/>
          <w:insideV w:val="single" w:color="C0C0C0" w:sz="4" w:space="0"/>
        </w:tblBorders>
        <w:tblLayout w:type="autofit"/>
        <w:tblCellMar>
          <w:top w:w="0" w:type="dxa"/>
          <w:left w:w="108" w:type="dxa"/>
          <w:bottom w:w="0" w:type="dxa"/>
          <w:right w:w="108" w:type="dxa"/>
        </w:tblCellMar>
      </w:tblPr>
      <w:tblGrid>
        <w:gridCol w:w="9919"/>
      </w:tblGrid>
      <w:tr w14:paraId="383C384F">
        <w:tblPrEx>
          <w:tblBorders>
            <w:top w:val="single" w:color="C0C0C0" w:sz="4" w:space="0"/>
            <w:left w:val="single" w:color="C0C0C0" w:sz="4" w:space="0"/>
            <w:bottom w:val="single" w:color="C0C0C0" w:sz="4" w:space="0"/>
            <w:right w:val="single" w:color="C0C0C0" w:sz="4" w:space="0"/>
            <w:insideH w:val="single" w:color="C0C0C0" w:sz="4" w:space="0"/>
            <w:insideV w:val="single" w:color="C0C0C0" w:sz="4" w:space="0"/>
          </w:tblBorders>
          <w:tblCellMar>
            <w:top w:w="0" w:type="dxa"/>
            <w:left w:w="108" w:type="dxa"/>
            <w:bottom w:w="0" w:type="dxa"/>
            <w:right w:w="108" w:type="dxa"/>
          </w:tblCellMar>
        </w:tblPrEx>
        <w:trPr>
          <w:trHeight w:val="1238" w:hRule="atLeast"/>
        </w:trPr>
        <w:tc>
          <w:tcPr>
            <w:tcW w:w="9919" w:type="dxa"/>
            <w:vAlign w:val="center"/>
          </w:tcPr>
          <w:p w14:paraId="383C384A">
            <w:pPr>
              <w:rPr>
                <w:b/>
                <w:sz w:val="20"/>
                <w:szCs w:val="20"/>
              </w:rPr>
            </w:pPr>
            <w:r>
              <w:rPr>
                <w:rFonts w:hint="eastAsia"/>
                <w:b/>
                <w:sz w:val="18"/>
                <w:szCs w:val="18"/>
              </w:rPr>
              <w:t>＊</w:t>
            </w:r>
            <w:r>
              <w:rPr>
                <w:rFonts w:hint="eastAsia"/>
                <w:sz w:val="18"/>
                <w:szCs w:val="18"/>
              </w:rPr>
              <w:t xml:space="preserve">  </w:t>
            </w:r>
            <w:r>
              <w:rPr>
                <w:rFonts w:hint="eastAsia"/>
                <w:b/>
                <w:sz w:val="20"/>
                <w:szCs w:val="20"/>
              </w:rPr>
              <w:t>申请人声明</w:t>
            </w:r>
          </w:p>
          <w:p w14:paraId="383C384B">
            <w:pPr>
              <w:pStyle w:val="14"/>
              <w:shd w:val="clear" w:color="auto" w:fill="FFFFFF"/>
              <w:spacing w:before="0" w:beforeAutospacing="0" w:after="0" w:afterAutospacing="0"/>
              <w:rPr>
                <w:rFonts w:ascii="Helvetica" w:hAnsi="Helvetica" w:cs="Helvetica"/>
                <w:color w:val="3C4353"/>
                <w:sz w:val="21"/>
                <w:szCs w:val="21"/>
              </w:rPr>
            </w:pPr>
            <w:r>
              <w:rPr>
                <w:rFonts w:hint="eastAsia"/>
                <w:sz w:val="18"/>
                <w:szCs w:val="18"/>
              </w:rPr>
              <w:t>□</w:t>
            </w:r>
            <w:r>
              <w:rPr>
                <w:rFonts w:hint="eastAsia" w:ascii="Times New Roman" w:hAnsi="Times New Roman" w:cs="Times New Roman"/>
                <w:kern w:val="2"/>
                <w:sz w:val="18"/>
                <w:szCs w:val="18"/>
              </w:rPr>
              <w:t>本人承诺参与投资的资金来源及用途均合法，本人拥有合法所有权或处分权，不存在汇集他人资金进行投资等情形。</w:t>
            </w:r>
          </w:p>
          <w:p w14:paraId="383C384C">
            <w:pPr>
              <w:rPr>
                <w:sz w:val="18"/>
                <w:szCs w:val="18"/>
              </w:rPr>
            </w:pPr>
            <w:r>
              <w:rPr>
                <w:rFonts w:hint="eastAsia"/>
                <w:sz w:val="18"/>
                <w:szCs w:val="18"/>
              </w:rPr>
              <w:t>□本人已详细阅读了在管理人</w:t>
            </w:r>
            <w:r>
              <w:rPr>
                <w:sz w:val="18"/>
                <w:szCs w:val="18"/>
              </w:rPr>
              <w:t>官网披露</w:t>
            </w:r>
            <w:r>
              <w:rPr>
                <w:rFonts w:hint="eastAsia"/>
                <w:sz w:val="18"/>
                <w:szCs w:val="18"/>
              </w:rPr>
              <w:t>的本基金产品资料概要</w:t>
            </w:r>
            <w:r>
              <w:rPr>
                <w:sz w:val="18"/>
                <w:szCs w:val="18"/>
              </w:rPr>
              <w:t>、</w:t>
            </w:r>
            <w:r>
              <w:rPr>
                <w:rFonts w:hint="eastAsia"/>
                <w:sz w:val="18"/>
                <w:szCs w:val="18"/>
              </w:rPr>
              <w:t>基金合同、招募说明书、发售公告、业务规则及投资者权益须知及风险揭示书等文件，并充分理解上述文件的法律含义。本人愿意遵守上述文件的相关条款，承诺所提供的所有信息均真实有效，并自愿履行基金份额持有人的各项义务。</w:t>
            </w:r>
          </w:p>
          <w:p w14:paraId="383C384D">
            <w:pPr>
              <w:rPr>
                <w:sz w:val="18"/>
                <w:szCs w:val="18"/>
              </w:rPr>
            </w:pPr>
            <w:r>
              <w:rPr>
                <w:rFonts w:hint="eastAsia"/>
                <w:sz w:val="18"/>
                <w:szCs w:val="18"/>
              </w:rPr>
              <w:t>□如您认/申购的是私募资产管理计划，请确认以下事项：</w:t>
            </w:r>
          </w:p>
          <w:p w14:paraId="383C384E">
            <w:pPr>
              <w:rPr>
                <w:sz w:val="18"/>
                <w:szCs w:val="18"/>
              </w:rPr>
            </w:pPr>
            <w:r>
              <w:rPr>
                <w:rFonts w:hint="eastAsia"/>
                <w:sz w:val="18"/>
                <w:szCs w:val="18"/>
              </w:rPr>
              <w:t>本人已确认为合格投资者，符合《关于规范金融机构资产管理业务的指导意见》及《证券期货经营机构私募资产管理计划运作管理规定》规定的合格投资者标准：本人具有2年以上投资经历，且满足以下条件之一：家庭金融净资产不低于300万元，家庭金融资产不低于500万元，或者近3年本人年均收入不低于40万元。</w:t>
            </w:r>
          </w:p>
        </w:tc>
      </w:tr>
    </w:tbl>
    <w:p w14:paraId="383C3852">
      <w:pPr>
        <w:tabs>
          <w:tab w:val="left" w:pos="2505"/>
        </w:tabs>
        <w:rPr>
          <w:sz w:val="18"/>
          <w:szCs w:val="18"/>
        </w:rPr>
      </w:pPr>
      <w:bookmarkStart w:id="1" w:name="_GoBack"/>
      <w:bookmarkEnd w:id="1"/>
      <w:r>
        <mc:AlternateContent>
          <mc:Choice Requires="wps">
            <w:drawing>
              <wp:anchor distT="0" distB="0" distL="114300" distR="114300" simplePos="0" relativeHeight="251661312" behindDoc="0" locked="0" layoutInCell="1" allowOverlap="1">
                <wp:simplePos x="0" y="0"/>
                <wp:positionH relativeFrom="page">
                  <wp:posOffset>794385</wp:posOffset>
                </wp:positionH>
                <wp:positionV relativeFrom="paragraph">
                  <wp:posOffset>206375</wp:posOffset>
                </wp:positionV>
                <wp:extent cx="5991225" cy="4684395"/>
                <wp:effectExtent l="0" t="0" r="9525" b="1905"/>
                <wp:wrapNone/>
                <wp:docPr id="3" name="文本框 5"/>
                <wp:cNvGraphicFramePr/>
                <a:graphic xmlns:a="http://schemas.openxmlformats.org/drawingml/2006/main">
                  <a:graphicData uri="http://schemas.microsoft.com/office/word/2010/wordprocessingShape">
                    <wps:wsp>
                      <wps:cNvSpPr txBox="1">
                        <a:spLocks noChangeArrowheads="1"/>
                      </wps:cNvSpPr>
                      <wps:spPr bwMode="auto">
                        <a:xfrm>
                          <a:off x="0" y="0"/>
                          <a:ext cx="5991225" cy="4684395"/>
                        </a:xfrm>
                        <a:prstGeom prst="rect">
                          <a:avLst/>
                        </a:prstGeom>
                        <a:solidFill>
                          <a:schemeClr val="bg1"/>
                        </a:solidFill>
                        <a:ln>
                          <a:noFill/>
                        </a:ln>
                      </wps:spPr>
                      <wps:txbx>
                        <w:txbxContent>
                          <w:p w14:paraId="383C3868">
                            <w:pPr>
                              <w:rPr>
                                <w:sz w:val="18"/>
                                <w:szCs w:val="18"/>
                              </w:rPr>
                            </w:pPr>
                          </w:p>
                          <w:p w14:paraId="383C3869">
                            <w:pPr>
                              <w:ind w:firstLine="3697" w:firstLineChars="2046"/>
                              <w:rPr>
                                <w:b/>
                                <w:sz w:val="18"/>
                                <w:szCs w:val="18"/>
                              </w:rPr>
                            </w:pPr>
                            <w:r>
                              <w:rPr>
                                <w:rFonts w:hint="eastAsia"/>
                                <w:b/>
                                <w:sz w:val="18"/>
                                <w:szCs w:val="18"/>
                              </w:rPr>
                              <w:t>风 险 提 示</w:t>
                            </w:r>
                          </w:p>
                          <w:p w14:paraId="383C386A">
                            <w:pPr>
                              <w:numPr>
                                <w:ilvl w:val="0"/>
                                <w:numId w:val="4"/>
                              </w:numPr>
                              <w:tabs>
                                <w:tab w:val="left" w:pos="0"/>
                                <w:tab w:val="clear" w:pos="420"/>
                              </w:tabs>
                              <w:ind w:left="0" w:firstLine="6"/>
                              <w:rPr>
                                <w:sz w:val="18"/>
                                <w:szCs w:val="18"/>
                              </w:rPr>
                            </w:pPr>
                            <w:r>
                              <w:rPr>
                                <w:rFonts w:hint="eastAsia"/>
                                <w:sz w:val="18"/>
                                <w:szCs w:val="18"/>
                              </w:rPr>
                              <w:t>本公司开放式证券投资基金经中国证监会核准发行，但中国证监会对本公司发行的基金所作的任何决定，均不表明其对该基金价值和收益做出实质性的判断和保证，亦不表明该基金没有风险。</w:t>
                            </w:r>
                          </w:p>
                          <w:p w14:paraId="383C386B">
                            <w:pPr>
                              <w:numPr>
                                <w:ilvl w:val="0"/>
                                <w:numId w:val="4"/>
                              </w:numPr>
                              <w:rPr>
                                <w:sz w:val="18"/>
                                <w:szCs w:val="18"/>
                              </w:rPr>
                            </w:pPr>
                            <w:r>
                              <w:rPr>
                                <w:rFonts w:hint="eastAsia"/>
                                <w:sz w:val="18"/>
                                <w:szCs w:val="18"/>
                              </w:rPr>
                              <w:t>本公司承诺将以诚实信用、勤勉尽责为原则管理和运用基金财产，但不保证一定盈利，也不保证最低收益。</w:t>
                            </w:r>
                          </w:p>
                          <w:p w14:paraId="383C386C">
                            <w:pPr>
                              <w:numPr>
                                <w:ilvl w:val="0"/>
                                <w:numId w:val="4"/>
                              </w:numPr>
                              <w:tabs>
                                <w:tab w:val="left" w:pos="142"/>
                                <w:tab w:val="clear" w:pos="420"/>
                              </w:tabs>
                              <w:ind w:left="0" w:firstLine="0"/>
                              <w:rPr>
                                <w:sz w:val="18"/>
                                <w:szCs w:val="18"/>
                              </w:rPr>
                            </w:pPr>
                            <w:r>
                              <w:rPr>
                                <w:rFonts w:hint="eastAsia"/>
                                <w:sz w:val="18"/>
                                <w:szCs w:val="18"/>
                              </w:rPr>
                              <w:t>投资有风险，投资者在办理本公司基金业务前应认真阅读有关基金的基金合同、招募说明书、发售公告、业务规则等法律文件及其它有关基金信息。对于投资所产生的风险需投资人自行承担。</w:t>
                            </w:r>
                          </w:p>
                          <w:p w14:paraId="383C386D">
                            <w:pPr>
                              <w:numPr>
                                <w:ilvl w:val="0"/>
                                <w:numId w:val="4"/>
                              </w:numPr>
                              <w:rPr>
                                <w:sz w:val="18"/>
                                <w:szCs w:val="18"/>
                              </w:rPr>
                            </w:pPr>
                            <w:r>
                              <w:rPr>
                                <w:rFonts w:hint="eastAsia"/>
                                <w:sz w:val="18"/>
                                <w:szCs w:val="18"/>
                              </w:rPr>
                              <w:t>本直销中心受理投资者的业务申请并不表示对该业务的确认，其最终结果应以基金注册登记机构的确认为准。</w:t>
                            </w:r>
                          </w:p>
                          <w:p w14:paraId="383C386E">
                            <w:pPr>
                              <w:numPr>
                                <w:ilvl w:val="0"/>
                                <w:numId w:val="4"/>
                              </w:numPr>
                              <w:tabs>
                                <w:tab w:val="left" w:pos="0"/>
                                <w:tab w:val="clear" w:pos="420"/>
                              </w:tabs>
                              <w:ind w:left="0" w:firstLine="0"/>
                              <w:rPr>
                                <w:sz w:val="18"/>
                                <w:szCs w:val="18"/>
                              </w:rPr>
                            </w:pPr>
                            <w:r>
                              <w:rPr>
                                <w:rFonts w:hint="eastAsia"/>
                                <w:sz w:val="18"/>
                                <w:szCs w:val="18"/>
                              </w:rPr>
                              <w:t>本公司将妥善保管投资者的申请表单，并视情况采取电子加密等适当的安全措施对资料进行保护。除依照</w:t>
                            </w:r>
                            <w:r>
                              <w:rPr>
                                <w:sz w:val="18"/>
                                <w:szCs w:val="18"/>
                              </w:rPr>
                              <w:t>相关的法律法规、基金合同及相关基金文件和特定主体（如政府部门、司法机构或其他监管机构等）</w:t>
                            </w:r>
                            <w:r>
                              <w:rPr>
                                <w:rFonts w:hint="eastAsia"/>
                                <w:sz w:val="18"/>
                                <w:szCs w:val="18"/>
                              </w:rPr>
                              <w:t>的要求而必须披露的以外，本公司承诺对上述表单中的投资者信息严加保密，不得将该类信息用于法律法规、基金合同及相关基金文件禁止之用途。</w:t>
                            </w:r>
                          </w:p>
                          <w:p w14:paraId="383C386F">
                            <w:pPr>
                              <w:numPr>
                                <w:ilvl w:val="0"/>
                                <w:numId w:val="4"/>
                              </w:numPr>
                              <w:tabs>
                                <w:tab w:val="left" w:pos="0"/>
                                <w:tab w:val="clear" w:pos="420"/>
                              </w:tabs>
                              <w:ind w:left="0" w:firstLine="0"/>
                              <w:rPr>
                                <w:sz w:val="18"/>
                                <w:szCs w:val="18"/>
                              </w:rPr>
                            </w:pPr>
                            <w:r>
                              <w:rPr>
                                <w:rFonts w:hint="eastAsia"/>
                                <w:sz w:val="18"/>
                                <w:szCs w:val="18"/>
                              </w:rPr>
                              <w:t>投资者应保证所填写的信息真实、准确有效。如有变化，投资者应及时前往本公司或代理销售机构进行资料变更。因投资者未能及时变更资料所导致的损失由投资者自行承担。</w:t>
                            </w:r>
                          </w:p>
                          <w:p w14:paraId="383C3871">
                            <w:pPr>
                              <w:pStyle w:val="6"/>
                              <w:numPr>
                                <w:ilvl w:val="0"/>
                                <w:numId w:val="4"/>
                              </w:numPr>
                              <w:tabs>
                                <w:tab w:val="clear" w:pos="420"/>
                              </w:tabs>
                              <w:ind w:left="0" w:firstLine="0"/>
                              <w:rPr>
                                <w:rFonts w:ascii="Times New Roman" w:hAnsi="Times New Roman" w:cs="Times New Roman"/>
                                <w:kern w:val="2"/>
                                <w:sz w:val="18"/>
                                <w:szCs w:val="18"/>
                                <w:highlight w:val="none"/>
                              </w:rPr>
                            </w:pPr>
                            <w:r>
                              <w:rPr>
                                <w:rFonts w:hint="eastAsia" w:ascii="Times New Roman" w:hAnsi="Times New Roman" w:cs="Times New Roman"/>
                                <w:kern w:val="2"/>
                                <w:sz w:val="18"/>
                                <w:szCs w:val="18"/>
                                <w:highlight w:val="none"/>
                              </w:rPr>
                              <w:t>基金账户注销业务应符合注册登记机构相关业务规则。基金账户销户时，需由投资者通过所有基金账户登记的代理销售机构提交销户申请。如基金账户除销户申请中填写的交易账户外还绑定了其他交易账户，则仅撤销该笔销户申请中填报的交易账户与基金账户的绑定关系，不注销该基金账户。</w:t>
                            </w:r>
                          </w:p>
                          <w:p w14:paraId="3378208F">
                            <w:pPr>
                              <w:pStyle w:val="6"/>
                              <w:numPr>
                                <w:ilvl w:val="0"/>
                                <w:numId w:val="4"/>
                              </w:numPr>
                              <w:tabs>
                                <w:tab w:val="clear" w:pos="420"/>
                              </w:tabs>
                              <w:ind w:left="0" w:firstLine="0"/>
                              <w:rPr>
                                <w:rFonts w:ascii="Times New Roman" w:hAnsi="Times New Roman" w:cs="Times New Roman"/>
                                <w:kern w:val="2"/>
                                <w:sz w:val="18"/>
                                <w:szCs w:val="18"/>
                                <w:highlight w:val="none"/>
                              </w:rPr>
                            </w:pPr>
                            <w:r>
                              <w:rPr>
                                <w:rFonts w:hint="eastAsia" w:ascii="Times New Roman" w:hAnsi="Times New Roman" w:cs="Times New Roman"/>
                                <w:kern w:val="2"/>
                                <w:sz w:val="18"/>
                                <w:szCs w:val="18"/>
                                <w:highlight w:val="none"/>
                              </w:rPr>
                              <w:t>投资者需配合提供有效身份证件或者其他身份证明文件的复印件或者影印件；投资者由他人代理办理业务的，需配合提供代理人有效身份证件或者其他身份证明文件的复印件或者影印件。</w:t>
                            </w:r>
                          </w:p>
                          <w:p w14:paraId="6774719A">
                            <w:pPr>
                              <w:pStyle w:val="6"/>
                              <w:numPr>
                                <w:ilvl w:val="0"/>
                                <w:numId w:val="4"/>
                              </w:numPr>
                              <w:tabs>
                                <w:tab w:val="clear" w:pos="420"/>
                              </w:tabs>
                              <w:ind w:left="0" w:firstLine="0"/>
                              <w:rPr>
                                <w:rFonts w:ascii="Times New Roman" w:hAnsi="Times New Roman" w:cs="Times New Roman"/>
                                <w:kern w:val="2"/>
                                <w:sz w:val="18"/>
                                <w:szCs w:val="18"/>
                                <w:highlight w:val="none"/>
                              </w:rPr>
                            </w:pPr>
                            <w:r>
                              <w:rPr>
                                <w:rFonts w:hint="eastAsia" w:ascii="Times New Roman" w:hAnsi="Times New Roman" w:cs="Times New Roman"/>
                                <w:kern w:val="2"/>
                                <w:sz w:val="18"/>
                                <w:szCs w:val="18"/>
                                <w:highlight w:val="none"/>
                              </w:rPr>
                              <w:t>投资者应当配合本公司开展客户尽职调查等反洗钱工作，如投资者不配合的，本公司有权</w:t>
                            </w:r>
                            <w:r>
                              <w:rPr>
                                <w:rFonts w:hint="eastAsia" w:ascii="Times New Roman" w:hAnsi="Times New Roman" w:cs="Times New Roman"/>
                                <w:kern w:val="2"/>
                                <w:sz w:val="18"/>
                                <w:szCs w:val="18"/>
                                <w:highlight w:val="none"/>
                                <w:lang w:val="en-US" w:eastAsia="zh-CN"/>
                              </w:rPr>
                              <w:t>根据反洗钱相关法律法规</w:t>
                            </w:r>
                            <w:r>
                              <w:rPr>
                                <w:rFonts w:hint="eastAsia" w:ascii="Times New Roman" w:hAnsi="Times New Roman" w:cs="Times New Roman"/>
                                <w:kern w:val="2"/>
                                <w:sz w:val="18"/>
                                <w:szCs w:val="18"/>
                                <w:highlight w:val="none"/>
                              </w:rPr>
                              <w:t>采取相应的洗钱风险管理措施。</w:t>
                            </w:r>
                          </w:p>
                          <w:p w14:paraId="383C3873">
                            <w:pPr>
                              <w:rPr>
                                <w:sz w:val="18"/>
                                <w:szCs w:val="18"/>
                              </w:rPr>
                            </w:pPr>
                          </w:p>
                          <w:p w14:paraId="383C3874">
                            <w:pPr>
                              <w:tabs>
                                <w:tab w:val="left" w:pos="2505"/>
                              </w:tabs>
                              <w:ind w:firstLine="450" w:firstLineChars="250"/>
                              <w:rPr>
                                <w:sz w:val="18"/>
                                <w:szCs w:val="18"/>
                              </w:rPr>
                            </w:pPr>
                            <w:r>
                              <w:rPr>
                                <w:rFonts w:hint="eastAsia"/>
                                <w:sz w:val="18"/>
                                <w:szCs w:val="18"/>
                              </w:rPr>
                              <w:t>申请人签字                                                日期         年      月      日</w:t>
                            </w:r>
                          </w:p>
                          <w:p w14:paraId="383C3877">
                            <w:pPr>
                              <w:ind w:firstLine="0" w:firstLineChars="0"/>
                              <w:rPr>
                                <w:rFonts w:hint="eastAsia"/>
                                <w:sz w:val="18"/>
                                <w:szCs w:val="18"/>
                              </w:rPr>
                            </w:pPr>
                          </w:p>
                        </w:txbxContent>
                      </wps:txbx>
                      <wps:bodyPr rot="0" vert="horz" wrap="square" lIns="91440" tIns="45720" rIns="91440" bIns="45720" anchor="t" anchorCtr="0" upright="1">
                        <a:noAutofit/>
                      </wps:bodyPr>
                    </wps:wsp>
                  </a:graphicData>
                </a:graphic>
              </wp:anchor>
            </w:drawing>
          </mc:Choice>
          <mc:Fallback>
            <w:pict>
              <v:shape id="文本框 5" o:spid="_x0000_s1026" o:spt="202" type="#_x0000_t202" style="position:absolute;left:0pt;margin-left:62.55pt;margin-top:16.25pt;height:368.85pt;width:471.75pt;mso-position-horizontal-relative:page;z-index:251661312;mso-width-relative:page;mso-height-relative:page;" fillcolor="#FFFFFF [3212]" filled="t" stroked="f" coordsize="21600,21600" o:gfxdata="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QBVhF2AAAAAsBAAAPAAAAAAAAAAEAIAAAACIAAABkcnMvZG93bnJldi54bWxQSwEC&#10;FAAUAAAACACHTuJAz6UkxS0CAAA/BAAADgAAAAAAAAABACAAAAAnAQAAZHJzL2Uyb0RvYy54bWxQ&#10;SwUGAAAAAAYABgBZAQAAxgUAAAAA&#10;">
                <v:fill on="t" focussize="0,0"/>
                <v:stroke on="f"/>
                <v:imagedata o:title=""/>
                <o:lock v:ext="edit" aspectratio="f"/>
                <v:textbox>
                  <w:txbxContent>
                    <w:p w14:paraId="383C3868">
                      <w:pPr>
                        <w:rPr>
                          <w:sz w:val="18"/>
                          <w:szCs w:val="18"/>
                        </w:rPr>
                      </w:pPr>
                    </w:p>
                    <w:p w14:paraId="383C3869">
                      <w:pPr>
                        <w:ind w:firstLine="3697" w:firstLineChars="2046"/>
                        <w:rPr>
                          <w:b/>
                          <w:sz w:val="18"/>
                          <w:szCs w:val="18"/>
                        </w:rPr>
                      </w:pPr>
                      <w:r>
                        <w:rPr>
                          <w:rFonts w:hint="eastAsia"/>
                          <w:b/>
                          <w:sz w:val="18"/>
                          <w:szCs w:val="18"/>
                        </w:rPr>
                        <w:t>风 险 提 示</w:t>
                      </w:r>
                    </w:p>
                    <w:p w14:paraId="383C386A">
                      <w:pPr>
                        <w:numPr>
                          <w:ilvl w:val="0"/>
                          <w:numId w:val="4"/>
                        </w:numPr>
                        <w:tabs>
                          <w:tab w:val="left" w:pos="0"/>
                          <w:tab w:val="clear" w:pos="420"/>
                        </w:tabs>
                        <w:ind w:left="0" w:firstLine="6"/>
                        <w:rPr>
                          <w:sz w:val="18"/>
                          <w:szCs w:val="18"/>
                        </w:rPr>
                      </w:pPr>
                      <w:r>
                        <w:rPr>
                          <w:rFonts w:hint="eastAsia"/>
                          <w:sz w:val="18"/>
                          <w:szCs w:val="18"/>
                        </w:rPr>
                        <w:t>本公司开放式证券投资基金经中国证监会核准发行，但中国证监会对本公司发行的基金所作的任何决定，均不表明其对该基金价值和收益做出实质性的判断和保证，亦不表明该基金没有风险。</w:t>
                      </w:r>
                    </w:p>
                    <w:p w14:paraId="383C386B">
                      <w:pPr>
                        <w:numPr>
                          <w:ilvl w:val="0"/>
                          <w:numId w:val="4"/>
                        </w:numPr>
                        <w:rPr>
                          <w:sz w:val="18"/>
                          <w:szCs w:val="18"/>
                        </w:rPr>
                      </w:pPr>
                      <w:r>
                        <w:rPr>
                          <w:rFonts w:hint="eastAsia"/>
                          <w:sz w:val="18"/>
                          <w:szCs w:val="18"/>
                        </w:rPr>
                        <w:t>本公司承诺将以诚实信用、勤勉尽责为原则管理和运用基金财产，但不保证一定盈利，也不保证最低收益。</w:t>
                      </w:r>
                    </w:p>
                    <w:p w14:paraId="383C386C">
                      <w:pPr>
                        <w:numPr>
                          <w:ilvl w:val="0"/>
                          <w:numId w:val="4"/>
                        </w:numPr>
                        <w:tabs>
                          <w:tab w:val="left" w:pos="142"/>
                          <w:tab w:val="clear" w:pos="420"/>
                        </w:tabs>
                        <w:ind w:left="0" w:firstLine="0"/>
                        <w:rPr>
                          <w:sz w:val="18"/>
                          <w:szCs w:val="18"/>
                        </w:rPr>
                      </w:pPr>
                      <w:r>
                        <w:rPr>
                          <w:rFonts w:hint="eastAsia"/>
                          <w:sz w:val="18"/>
                          <w:szCs w:val="18"/>
                        </w:rPr>
                        <w:t>投资有风险，投资者在办理本公司基金业务前应认真阅读有关基金的基金合同、招募说明书、发售公告、业务规则等法律文件及其它有关基金信息。对于投资所产生的风险需投资人自行承担。</w:t>
                      </w:r>
                    </w:p>
                    <w:p w14:paraId="383C386D">
                      <w:pPr>
                        <w:numPr>
                          <w:ilvl w:val="0"/>
                          <w:numId w:val="4"/>
                        </w:numPr>
                        <w:rPr>
                          <w:sz w:val="18"/>
                          <w:szCs w:val="18"/>
                        </w:rPr>
                      </w:pPr>
                      <w:r>
                        <w:rPr>
                          <w:rFonts w:hint="eastAsia"/>
                          <w:sz w:val="18"/>
                          <w:szCs w:val="18"/>
                        </w:rPr>
                        <w:t>本直销中心受理投资者的业务申请并不表示对该业务的确认，其最终结果应以基金注册登记机构的确认为准。</w:t>
                      </w:r>
                    </w:p>
                    <w:p w14:paraId="383C386E">
                      <w:pPr>
                        <w:numPr>
                          <w:ilvl w:val="0"/>
                          <w:numId w:val="4"/>
                        </w:numPr>
                        <w:tabs>
                          <w:tab w:val="left" w:pos="0"/>
                          <w:tab w:val="clear" w:pos="420"/>
                        </w:tabs>
                        <w:ind w:left="0" w:firstLine="0"/>
                        <w:rPr>
                          <w:sz w:val="18"/>
                          <w:szCs w:val="18"/>
                        </w:rPr>
                      </w:pPr>
                      <w:r>
                        <w:rPr>
                          <w:rFonts w:hint="eastAsia"/>
                          <w:sz w:val="18"/>
                          <w:szCs w:val="18"/>
                        </w:rPr>
                        <w:t>本公司将妥善保管投资者的申请表单，并视情况采取电子加密等适当的安全措施对资料进行保护。除依照</w:t>
                      </w:r>
                      <w:r>
                        <w:rPr>
                          <w:sz w:val="18"/>
                          <w:szCs w:val="18"/>
                        </w:rPr>
                        <w:t>相关的法律法规、基金合同及相关基金文件和特定主体（如政府部门、司法机构或其他监管机构等）</w:t>
                      </w:r>
                      <w:r>
                        <w:rPr>
                          <w:rFonts w:hint="eastAsia"/>
                          <w:sz w:val="18"/>
                          <w:szCs w:val="18"/>
                        </w:rPr>
                        <w:t>的要求而必须披露的以外，本公司承诺对上述表单中的投资者信息严加保密，不得将该类信息用于法律法规、基金合同及相关基金文件禁止之用途。</w:t>
                      </w:r>
                    </w:p>
                    <w:p w14:paraId="383C386F">
                      <w:pPr>
                        <w:numPr>
                          <w:ilvl w:val="0"/>
                          <w:numId w:val="4"/>
                        </w:numPr>
                        <w:tabs>
                          <w:tab w:val="left" w:pos="0"/>
                          <w:tab w:val="clear" w:pos="420"/>
                        </w:tabs>
                        <w:ind w:left="0" w:firstLine="0"/>
                        <w:rPr>
                          <w:sz w:val="18"/>
                          <w:szCs w:val="18"/>
                        </w:rPr>
                      </w:pPr>
                      <w:r>
                        <w:rPr>
                          <w:rFonts w:hint="eastAsia"/>
                          <w:sz w:val="18"/>
                          <w:szCs w:val="18"/>
                        </w:rPr>
                        <w:t>投资者应保证所填写的信息真实、准确有效。如有变化，投资者应及时前往本公司或代理销售机构进行资料变更。因投资者未能及时变更资料所导致的损失由投资者自行承担。</w:t>
                      </w:r>
                    </w:p>
                    <w:p w14:paraId="383C3871">
                      <w:pPr>
                        <w:pStyle w:val="6"/>
                        <w:numPr>
                          <w:ilvl w:val="0"/>
                          <w:numId w:val="4"/>
                        </w:numPr>
                        <w:tabs>
                          <w:tab w:val="clear" w:pos="420"/>
                        </w:tabs>
                        <w:ind w:left="0" w:firstLine="0"/>
                        <w:rPr>
                          <w:rFonts w:ascii="Times New Roman" w:hAnsi="Times New Roman" w:cs="Times New Roman"/>
                          <w:kern w:val="2"/>
                          <w:sz w:val="18"/>
                          <w:szCs w:val="18"/>
                          <w:highlight w:val="none"/>
                        </w:rPr>
                      </w:pPr>
                      <w:r>
                        <w:rPr>
                          <w:rFonts w:hint="eastAsia" w:ascii="Times New Roman" w:hAnsi="Times New Roman" w:cs="Times New Roman"/>
                          <w:kern w:val="2"/>
                          <w:sz w:val="18"/>
                          <w:szCs w:val="18"/>
                          <w:highlight w:val="none"/>
                        </w:rPr>
                        <w:t>基金账户注销业务应符合注册登记机构相关业务规则。基金账户销户时，需由投资者通过所有基金账户登记的代理销售机构提交销户申请。如基金账户除销户申请中填写的交易账户外还绑定了其他交易账户，则仅撤销该笔销户申请中填报的交易账户与基金账户的绑定关系，不注销该基金账户。</w:t>
                      </w:r>
                    </w:p>
                    <w:p w14:paraId="3378208F">
                      <w:pPr>
                        <w:pStyle w:val="6"/>
                        <w:numPr>
                          <w:ilvl w:val="0"/>
                          <w:numId w:val="4"/>
                        </w:numPr>
                        <w:tabs>
                          <w:tab w:val="clear" w:pos="420"/>
                        </w:tabs>
                        <w:ind w:left="0" w:firstLine="0"/>
                        <w:rPr>
                          <w:rFonts w:ascii="Times New Roman" w:hAnsi="Times New Roman" w:cs="Times New Roman"/>
                          <w:kern w:val="2"/>
                          <w:sz w:val="18"/>
                          <w:szCs w:val="18"/>
                          <w:highlight w:val="none"/>
                        </w:rPr>
                      </w:pPr>
                      <w:r>
                        <w:rPr>
                          <w:rFonts w:hint="eastAsia" w:ascii="Times New Roman" w:hAnsi="Times New Roman" w:cs="Times New Roman"/>
                          <w:kern w:val="2"/>
                          <w:sz w:val="18"/>
                          <w:szCs w:val="18"/>
                          <w:highlight w:val="none"/>
                        </w:rPr>
                        <w:t>投资者需配合提供有效身份证件或者其他身份证明文件的复印件或者影印件；投资者由他人代理办理业务的，需配合提供代理人有效身份证件或者其他身份证明文件的复印件或者影印件。</w:t>
                      </w:r>
                    </w:p>
                    <w:p w14:paraId="6774719A">
                      <w:pPr>
                        <w:pStyle w:val="6"/>
                        <w:numPr>
                          <w:ilvl w:val="0"/>
                          <w:numId w:val="4"/>
                        </w:numPr>
                        <w:tabs>
                          <w:tab w:val="clear" w:pos="420"/>
                        </w:tabs>
                        <w:ind w:left="0" w:firstLine="0"/>
                        <w:rPr>
                          <w:rFonts w:ascii="Times New Roman" w:hAnsi="Times New Roman" w:cs="Times New Roman"/>
                          <w:kern w:val="2"/>
                          <w:sz w:val="18"/>
                          <w:szCs w:val="18"/>
                          <w:highlight w:val="none"/>
                        </w:rPr>
                      </w:pPr>
                      <w:r>
                        <w:rPr>
                          <w:rFonts w:hint="eastAsia" w:ascii="Times New Roman" w:hAnsi="Times New Roman" w:cs="Times New Roman"/>
                          <w:kern w:val="2"/>
                          <w:sz w:val="18"/>
                          <w:szCs w:val="18"/>
                          <w:highlight w:val="none"/>
                        </w:rPr>
                        <w:t>投资者应当配合本公司开展客户尽职调查等反洗钱工作，如投资者不配合的，本公司有权</w:t>
                      </w:r>
                      <w:r>
                        <w:rPr>
                          <w:rFonts w:hint="eastAsia" w:ascii="Times New Roman" w:hAnsi="Times New Roman" w:cs="Times New Roman"/>
                          <w:kern w:val="2"/>
                          <w:sz w:val="18"/>
                          <w:szCs w:val="18"/>
                          <w:highlight w:val="none"/>
                          <w:lang w:val="en-US" w:eastAsia="zh-CN"/>
                        </w:rPr>
                        <w:t>根据反洗钱相关法律法规</w:t>
                      </w:r>
                      <w:r>
                        <w:rPr>
                          <w:rFonts w:hint="eastAsia" w:ascii="Times New Roman" w:hAnsi="Times New Roman" w:cs="Times New Roman"/>
                          <w:kern w:val="2"/>
                          <w:sz w:val="18"/>
                          <w:szCs w:val="18"/>
                          <w:highlight w:val="none"/>
                        </w:rPr>
                        <w:t>采取相应的洗钱风险管理措施。</w:t>
                      </w:r>
                    </w:p>
                    <w:p w14:paraId="383C3873">
                      <w:pPr>
                        <w:rPr>
                          <w:sz w:val="18"/>
                          <w:szCs w:val="18"/>
                        </w:rPr>
                      </w:pPr>
                    </w:p>
                    <w:p w14:paraId="383C3874">
                      <w:pPr>
                        <w:tabs>
                          <w:tab w:val="left" w:pos="2505"/>
                        </w:tabs>
                        <w:ind w:firstLine="450" w:firstLineChars="250"/>
                        <w:rPr>
                          <w:sz w:val="18"/>
                          <w:szCs w:val="18"/>
                        </w:rPr>
                      </w:pPr>
                      <w:r>
                        <w:rPr>
                          <w:rFonts w:hint="eastAsia"/>
                          <w:sz w:val="18"/>
                          <w:szCs w:val="18"/>
                        </w:rPr>
                        <w:t>申请人签字                                                日期         年      月      日</w:t>
                      </w:r>
                    </w:p>
                    <w:p w14:paraId="383C3877">
                      <w:pPr>
                        <w:ind w:firstLine="0" w:firstLineChars="0"/>
                        <w:rPr>
                          <w:rFonts w:hint="eastAsia"/>
                          <w:sz w:val="18"/>
                          <w:szCs w:val="18"/>
                        </w:rPr>
                      </w:pPr>
                    </w:p>
                  </w:txbxContent>
                </v:textbox>
              </v:shape>
            </w:pict>
          </mc:Fallback>
        </mc:AlternateContent>
      </w:r>
    </w:p>
    <w:p w14:paraId="383C3853">
      <w:pPr>
        <w:tabs>
          <w:tab w:val="left" w:pos="2505"/>
        </w:tabs>
        <w:rPr>
          <w:sz w:val="18"/>
          <w:szCs w:val="18"/>
        </w:rPr>
      </w:pPr>
    </w:p>
    <w:p w14:paraId="383C3854">
      <w:pPr>
        <w:tabs>
          <w:tab w:val="left" w:pos="2505"/>
        </w:tabs>
        <w:rPr>
          <w:sz w:val="18"/>
          <w:szCs w:val="18"/>
        </w:rPr>
      </w:pPr>
      <w:r>
        <w:rPr>
          <w:rFonts w:hint="eastAsia"/>
          <w:sz w:val="18"/>
          <w:szCs w:val="18"/>
        </w:rPr>
        <mc:AlternateContent>
          <mc:Choice Requires="wps">
            <w:drawing>
              <wp:anchor distT="0" distB="0" distL="114300" distR="114300" simplePos="0" relativeHeight="251659264" behindDoc="0" locked="0" layoutInCell="1" allowOverlap="1">
                <wp:simplePos x="0" y="0"/>
                <wp:positionH relativeFrom="column">
                  <wp:posOffset>-342900</wp:posOffset>
                </wp:positionH>
                <wp:positionV relativeFrom="paragraph">
                  <wp:posOffset>2181860</wp:posOffset>
                </wp:positionV>
                <wp:extent cx="6172200" cy="276225"/>
                <wp:effectExtent l="13335" t="11430" r="5715" b="7620"/>
                <wp:wrapNone/>
                <wp:docPr id="1" name="文本框 3"/>
                <wp:cNvGraphicFramePr/>
                <a:graphic xmlns:a="http://schemas.openxmlformats.org/drawingml/2006/main">
                  <a:graphicData uri="http://schemas.microsoft.com/office/word/2010/wordprocessingShape">
                    <wps:wsp>
                      <wps:cNvSpPr txBox="1">
                        <a:spLocks noChangeArrowheads="1"/>
                      </wps:cNvSpPr>
                      <wps:spPr bwMode="auto">
                        <a:xfrm>
                          <a:off x="0" y="0"/>
                          <a:ext cx="6172200" cy="276225"/>
                        </a:xfrm>
                        <a:prstGeom prst="rect">
                          <a:avLst/>
                        </a:prstGeom>
                        <a:solidFill>
                          <a:srgbClr val="FFFFFF"/>
                        </a:solidFill>
                        <a:ln w="9525">
                          <a:solidFill>
                            <a:srgbClr val="FFFFFF"/>
                          </a:solidFill>
                          <a:miter lim="800000"/>
                        </a:ln>
                      </wps:spPr>
                      <wps:txbx>
                        <w:txbxContent>
                          <w:p w14:paraId="383C3878">
                            <w:pPr>
                              <w:rPr>
                                <w:sz w:val="18"/>
                                <w:szCs w:val="18"/>
                              </w:rPr>
                            </w:pPr>
                            <w:r>
                              <w:rPr>
                                <w:rFonts w:hint="eastAsia"/>
                                <w:sz w:val="18"/>
                                <w:szCs w:val="18"/>
                              </w:rPr>
                              <w:t>经办员                              复核员                       业务受理章</w:t>
                            </w:r>
                          </w:p>
                        </w:txbxContent>
                      </wps:txbx>
                      <wps:bodyPr rot="0" vert="horz" wrap="square" lIns="91440" tIns="45720" rIns="91440" bIns="45720" anchor="t" anchorCtr="0" upright="1">
                        <a:noAutofit/>
                      </wps:bodyPr>
                    </wps:wsp>
                  </a:graphicData>
                </a:graphic>
              </wp:anchor>
            </w:drawing>
          </mc:Choice>
          <mc:Fallback>
            <w:pict>
              <v:shape id="文本框 3" o:spid="_x0000_s1026" o:spt="202" type="#_x0000_t202" style="position:absolute;left:0pt;margin-left:-27pt;margin-top:171.8pt;height:21.75pt;width:486pt;z-index:251659264;mso-width-relative:page;mso-height-relative:page;" fillcolor="#FFFFFF" filled="t" stroked="t" coordsize="21600,21600" o:gfxdata="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K3dTQ2gAAAAsBAAAPAAAAAAAAAAEAIAAAACIAAABkcnMv&#10;ZG93bnJldi54bWxQSwECFAAUAAAACACHTuJAikinmzoCAACHBAAADgAAAAAAAAABACAAAAApAQAA&#10;ZHJzL2Uyb0RvYy54bWxQSwUGAAAAAAYABgBZAQAA1QUAAAAA&#10;">
                <v:fill on="t" focussize="0,0"/>
                <v:stroke color="#FFFFFF" miterlimit="8" joinstyle="miter"/>
                <v:imagedata o:title=""/>
                <o:lock v:ext="edit" aspectratio="f"/>
                <v:textbox>
                  <w:txbxContent>
                    <w:p w14:paraId="383C3878">
                      <w:pPr>
                        <w:rPr>
                          <w:sz w:val="18"/>
                          <w:szCs w:val="18"/>
                        </w:rPr>
                      </w:pPr>
                      <w:r>
                        <w:rPr>
                          <w:rFonts w:hint="eastAsia"/>
                          <w:sz w:val="18"/>
                          <w:szCs w:val="18"/>
                        </w:rPr>
                        <w:t>经办员                              复核员                       业务受理章</w:t>
                      </w:r>
                    </w:p>
                  </w:txbxContent>
                </v:textbox>
              </v:shape>
            </w:pict>
          </mc:Fallback>
        </mc:AlternateContent>
      </w:r>
    </w:p>
    <w:p w14:paraId="383C3855">
      <w:r>
        <mc:AlternateContent>
          <mc:Choice Requires="wps">
            <w:drawing>
              <wp:anchor distT="0" distB="0" distL="114300" distR="114300" simplePos="0" relativeHeight="251660288" behindDoc="0" locked="0" layoutInCell="1" allowOverlap="1">
                <wp:simplePos x="0" y="0"/>
                <wp:positionH relativeFrom="column">
                  <wp:posOffset>-327025</wp:posOffset>
                </wp:positionH>
                <wp:positionV relativeFrom="paragraph">
                  <wp:posOffset>4258310</wp:posOffset>
                </wp:positionV>
                <wp:extent cx="6303645" cy="907415"/>
                <wp:effectExtent l="0" t="0" r="1905" b="762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6303645" cy="907367"/>
                        </a:xfrm>
                        <a:prstGeom prst="rect">
                          <a:avLst/>
                        </a:prstGeom>
                        <a:solidFill>
                          <a:srgbClr val="FFFFFF"/>
                        </a:solidFill>
                        <a:ln>
                          <a:noFill/>
                        </a:ln>
                      </wps:spPr>
                      <wps:txbx>
                        <w:txbxContent>
                          <w:p w14:paraId="383C3863">
                            <w:pPr>
                              <w:rPr>
                                <w:b/>
                                <w:sz w:val="18"/>
                                <w:szCs w:val="18"/>
                              </w:rPr>
                            </w:pPr>
                            <w:r>
                              <w:rPr>
                                <w:b/>
                                <w:sz w:val="18"/>
                                <w:szCs w:val="18"/>
                              </w:rPr>
                              <w:t>汇添富基金管理股份有限公司</w:t>
                            </w:r>
                          </w:p>
                          <w:p w14:paraId="383C3864">
                            <w:pPr>
                              <w:ind w:firstLine="177" w:firstLineChars="98"/>
                              <w:rPr>
                                <w:sz w:val="18"/>
                                <w:szCs w:val="18"/>
                              </w:rPr>
                            </w:pPr>
                            <w:r>
                              <w:rPr>
                                <w:rFonts w:hint="eastAsia"/>
                                <w:b/>
                                <w:sz w:val="18"/>
                                <w:szCs w:val="18"/>
                              </w:rPr>
                              <w:t xml:space="preserve">客服热线 </w:t>
                            </w:r>
                            <w:r>
                              <w:rPr>
                                <w:rFonts w:hint="eastAsia"/>
                                <w:sz w:val="18"/>
                                <w:szCs w:val="18"/>
                              </w:rPr>
                              <w:t xml:space="preserve">400-888-9918（免长途话费）  </w:t>
                            </w:r>
                            <w:r>
                              <w:rPr>
                                <w:rFonts w:hint="eastAsia"/>
                                <w:b/>
                                <w:sz w:val="18"/>
                                <w:szCs w:val="18"/>
                              </w:rPr>
                              <w:t xml:space="preserve">直销电话 </w:t>
                            </w:r>
                            <w:r>
                              <w:rPr>
                                <w:rFonts w:hint="eastAsia"/>
                                <w:sz w:val="18"/>
                                <w:szCs w:val="18"/>
                              </w:rPr>
                              <w:t>021-28932893</w:t>
                            </w:r>
                            <w:r>
                              <w:rPr>
                                <w:rFonts w:hint="eastAsia"/>
                                <w:b/>
                                <w:sz w:val="18"/>
                                <w:szCs w:val="18"/>
                              </w:rPr>
                              <w:t xml:space="preserve">    </w:t>
                            </w:r>
                            <w:r>
                              <w:fldChar w:fldCharType="begin"/>
                            </w:r>
                            <w:r>
                              <w:instrText xml:space="preserve"> HYPERLINK "mailto:柜台邮箱guitai@htffund.com" </w:instrText>
                            </w:r>
                            <w:r>
                              <w:fldChar w:fldCharType="separate"/>
                            </w:r>
                            <w:r>
                              <w:rPr>
                                <w:rStyle w:val="9"/>
                                <w:rFonts w:hint="eastAsia"/>
                                <w:b/>
                                <w:sz w:val="18"/>
                                <w:szCs w:val="18"/>
                              </w:rPr>
                              <w:t>柜台邮箱</w:t>
                            </w:r>
                            <w:r>
                              <w:rPr>
                                <w:rStyle w:val="9"/>
                                <w:rFonts w:hint="eastAsia"/>
                                <w:sz w:val="18"/>
                                <w:szCs w:val="18"/>
                              </w:rPr>
                              <w:t>guitai@htffund.com</w:t>
                            </w:r>
                            <w:r>
                              <w:rPr>
                                <w:rStyle w:val="9"/>
                                <w:rFonts w:hint="eastAsia"/>
                                <w:sz w:val="18"/>
                                <w:szCs w:val="18"/>
                              </w:rPr>
                              <w:fldChar w:fldCharType="end"/>
                            </w:r>
                            <w:r>
                              <w:rPr>
                                <w:rFonts w:hint="eastAsia"/>
                                <w:sz w:val="18"/>
                                <w:szCs w:val="18"/>
                              </w:rPr>
                              <w:t xml:space="preserve">  </w:t>
                            </w:r>
                          </w:p>
                          <w:p w14:paraId="383C3865">
                            <w:pPr>
                              <w:ind w:firstLine="177" w:firstLineChars="98"/>
                              <w:rPr>
                                <w:sz w:val="18"/>
                                <w:szCs w:val="18"/>
                              </w:rPr>
                            </w:pPr>
                            <w:r>
                              <w:rPr>
                                <w:rFonts w:hint="eastAsia"/>
                                <w:b/>
                                <w:sz w:val="18"/>
                                <w:szCs w:val="18"/>
                              </w:rPr>
                              <w:t>公司网址</w:t>
                            </w:r>
                            <w:r>
                              <w:rPr>
                                <w:rFonts w:hint="eastAsia"/>
                                <w:sz w:val="18"/>
                                <w:szCs w:val="18"/>
                              </w:rPr>
                              <w:t xml:space="preserve"> </w:t>
                            </w:r>
                            <w:r>
                              <w:fldChar w:fldCharType="begin"/>
                            </w:r>
                            <w:r>
                              <w:instrText xml:space="preserve"> HYPERLINK "http://www.99fund.com" </w:instrText>
                            </w:r>
                            <w:r>
                              <w:fldChar w:fldCharType="separate"/>
                            </w:r>
                            <w:r>
                              <w:rPr>
                                <w:rStyle w:val="9"/>
                                <w:rFonts w:hint="eastAsia"/>
                                <w:sz w:val="18"/>
                                <w:szCs w:val="18"/>
                              </w:rPr>
                              <w:t>www.99fund.com</w:t>
                            </w:r>
                            <w:r>
                              <w:rPr>
                                <w:rStyle w:val="9"/>
                                <w:rFonts w:hint="eastAsia"/>
                                <w:sz w:val="18"/>
                                <w:szCs w:val="18"/>
                              </w:rPr>
                              <w:fldChar w:fldCharType="end"/>
                            </w:r>
                            <w:r>
                              <w:rPr>
                                <w:rFonts w:hint="eastAsia"/>
                                <w:sz w:val="18"/>
                                <w:szCs w:val="18"/>
                              </w:rPr>
                              <w:t xml:space="preserve"> </w:t>
                            </w:r>
                            <w:r>
                              <w:rPr>
                                <w:rFonts w:hint="eastAsia"/>
                                <w:b/>
                                <w:sz w:val="18"/>
                                <w:szCs w:val="18"/>
                              </w:rPr>
                              <w:t xml:space="preserve">办公地址  </w:t>
                            </w:r>
                            <w:r>
                              <w:rPr>
                                <w:rFonts w:hint="eastAsia" w:ascii="Calibri" w:hAnsi="Calibri"/>
                                <w:sz w:val="18"/>
                                <w:szCs w:val="18"/>
                              </w:rPr>
                              <w:t>上海市浦东新区樱花路</w:t>
                            </w:r>
                            <w:r>
                              <w:rPr>
                                <w:rFonts w:ascii="Calibri" w:hAnsi="Calibri"/>
                                <w:sz w:val="18"/>
                                <w:szCs w:val="18"/>
                              </w:rPr>
                              <w:t>868</w:t>
                            </w:r>
                            <w:r>
                              <w:rPr>
                                <w:rFonts w:hint="eastAsia" w:ascii="Calibri" w:hAnsi="Calibri"/>
                                <w:sz w:val="18"/>
                                <w:szCs w:val="18"/>
                              </w:rPr>
                              <w:t>号建工大唐国际广场A座</w:t>
                            </w:r>
                            <w:r>
                              <w:rPr>
                                <w:rFonts w:ascii="Calibri" w:hAnsi="Calibri"/>
                                <w:sz w:val="18"/>
                                <w:szCs w:val="18"/>
                              </w:rPr>
                              <w:t>7</w:t>
                            </w:r>
                            <w:r>
                              <w:rPr>
                                <w:rFonts w:hint="eastAsia" w:ascii="Calibri" w:hAnsi="Calibri"/>
                                <w:sz w:val="18"/>
                                <w:szCs w:val="18"/>
                              </w:rPr>
                              <w:t>楼 直销中心</w:t>
                            </w:r>
                            <w:r>
                              <w:rPr>
                                <w:rFonts w:hint="eastAsia"/>
                                <w:sz w:val="18"/>
                                <w:szCs w:val="18"/>
                              </w:rPr>
                              <w:t xml:space="preserve"> </w:t>
                            </w:r>
                          </w:p>
                          <w:p w14:paraId="383C3866">
                            <w:pPr>
                              <w:ind w:firstLine="177" w:firstLineChars="98"/>
                              <w:rPr>
                                <w:sz w:val="18"/>
                                <w:szCs w:val="18"/>
                              </w:rPr>
                            </w:pPr>
                            <w:r>
                              <w:rPr>
                                <w:rFonts w:hint="eastAsia"/>
                                <w:b/>
                                <w:sz w:val="18"/>
                                <w:szCs w:val="18"/>
                              </w:rPr>
                              <w:t xml:space="preserve">邮政编码 </w:t>
                            </w:r>
                            <w:r>
                              <w:rPr>
                                <w:rFonts w:hint="eastAsia"/>
                                <w:sz w:val="18"/>
                                <w:szCs w:val="18"/>
                              </w:rPr>
                              <w:t>201204</w:t>
                            </w:r>
                          </w:p>
                          <w:p w14:paraId="383C3867">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5.75pt;margin-top:335.3pt;height:71.45pt;width:496.35pt;z-index:251660288;mso-width-relative:page;mso-height-relative:page;" fillcolor="#FFFFFF" filled="t" stroked="f" coordsize="21600,21600" o:gfxdata="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9PlxoNkAAAALAQAADwAAAAAAAAABACAAAAAiAAAAZHJzL2Rvd25yZXYueG1sUEsB&#10;AhQAFAAAAAgAh07iQJzgd9QtAgAAPgQAAA4AAAAAAAAAAQAgAAAAKAEAAGRycy9lMm9Eb2MueG1s&#10;UEsFBgAAAAAGAAYAWQEAAMcFAAAAAA==&#10;">
                <v:fill on="t" focussize="0,0"/>
                <v:stroke on="f"/>
                <v:imagedata o:title=""/>
                <o:lock v:ext="edit" aspectratio="f"/>
                <v:textbox>
                  <w:txbxContent>
                    <w:p w14:paraId="383C3863">
                      <w:pPr>
                        <w:rPr>
                          <w:b/>
                          <w:sz w:val="18"/>
                          <w:szCs w:val="18"/>
                        </w:rPr>
                      </w:pPr>
                      <w:r>
                        <w:rPr>
                          <w:b/>
                          <w:sz w:val="18"/>
                          <w:szCs w:val="18"/>
                        </w:rPr>
                        <w:t>汇添富基金管理股份有限公司</w:t>
                      </w:r>
                    </w:p>
                    <w:p w14:paraId="383C3864">
                      <w:pPr>
                        <w:ind w:firstLine="177" w:firstLineChars="98"/>
                        <w:rPr>
                          <w:sz w:val="18"/>
                          <w:szCs w:val="18"/>
                        </w:rPr>
                      </w:pPr>
                      <w:r>
                        <w:rPr>
                          <w:rFonts w:hint="eastAsia"/>
                          <w:b/>
                          <w:sz w:val="18"/>
                          <w:szCs w:val="18"/>
                        </w:rPr>
                        <w:t xml:space="preserve">客服热线 </w:t>
                      </w:r>
                      <w:r>
                        <w:rPr>
                          <w:rFonts w:hint="eastAsia"/>
                          <w:sz w:val="18"/>
                          <w:szCs w:val="18"/>
                        </w:rPr>
                        <w:t xml:space="preserve">400-888-9918（免长途话费）  </w:t>
                      </w:r>
                      <w:r>
                        <w:rPr>
                          <w:rFonts w:hint="eastAsia"/>
                          <w:b/>
                          <w:sz w:val="18"/>
                          <w:szCs w:val="18"/>
                        </w:rPr>
                        <w:t xml:space="preserve">直销电话 </w:t>
                      </w:r>
                      <w:r>
                        <w:rPr>
                          <w:rFonts w:hint="eastAsia"/>
                          <w:sz w:val="18"/>
                          <w:szCs w:val="18"/>
                        </w:rPr>
                        <w:t>021-28932893</w:t>
                      </w:r>
                      <w:r>
                        <w:rPr>
                          <w:rFonts w:hint="eastAsia"/>
                          <w:b/>
                          <w:sz w:val="18"/>
                          <w:szCs w:val="18"/>
                        </w:rPr>
                        <w:t xml:space="preserve">    </w:t>
                      </w:r>
                      <w:r>
                        <w:fldChar w:fldCharType="begin"/>
                      </w:r>
                      <w:r>
                        <w:instrText xml:space="preserve"> HYPERLINK "mailto:柜台邮箱guitai@htffund.com" </w:instrText>
                      </w:r>
                      <w:r>
                        <w:fldChar w:fldCharType="separate"/>
                      </w:r>
                      <w:r>
                        <w:rPr>
                          <w:rStyle w:val="9"/>
                          <w:rFonts w:hint="eastAsia"/>
                          <w:b/>
                          <w:sz w:val="18"/>
                          <w:szCs w:val="18"/>
                        </w:rPr>
                        <w:t>柜台邮箱</w:t>
                      </w:r>
                      <w:r>
                        <w:rPr>
                          <w:rStyle w:val="9"/>
                          <w:rFonts w:hint="eastAsia"/>
                          <w:sz w:val="18"/>
                          <w:szCs w:val="18"/>
                        </w:rPr>
                        <w:t>guitai@htffund.com</w:t>
                      </w:r>
                      <w:r>
                        <w:rPr>
                          <w:rStyle w:val="9"/>
                          <w:rFonts w:hint="eastAsia"/>
                          <w:sz w:val="18"/>
                          <w:szCs w:val="18"/>
                        </w:rPr>
                        <w:fldChar w:fldCharType="end"/>
                      </w:r>
                      <w:r>
                        <w:rPr>
                          <w:rFonts w:hint="eastAsia"/>
                          <w:sz w:val="18"/>
                          <w:szCs w:val="18"/>
                        </w:rPr>
                        <w:t xml:space="preserve">  </w:t>
                      </w:r>
                    </w:p>
                    <w:p w14:paraId="383C3865">
                      <w:pPr>
                        <w:ind w:firstLine="177" w:firstLineChars="98"/>
                        <w:rPr>
                          <w:sz w:val="18"/>
                          <w:szCs w:val="18"/>
                        </w:rPr>
                      </w:pPr>
                      <w:r>
                        <w:rPr>
                          <w:rFonts w:hint="eastAsia"/>
                          <w:b/>
                          <w:sz w:val="18"/>
                          <w:szCs w:val="18"/>
                        </w:rPr>
                        <w:t>公司网址</w:t>
                      </w:r>
                      <w:r>
                        <w:rPr>
                          <w:rFonts w:hint="eastAsia"/>
                          <w:sz w:val="18"/>
                          <w:szCs w:val="18"/>
                        </w:rPr>
                        <w:t xml:space="preserve"> </w:t>
                      </w:r>
                      <w:r>
                        <w:fldChar w:fldCharType="begin"/>
                      </w:r>
                      <w:r>
                        <w:instrText xml:space="preserve"> HYPERLINK "http://www.99fund.com" </w:instrText>
                      </w:r>
                      <w:r>
                        <w:fldChar w:fldCharType="separate"/>
                      </w:r>
                      <w:r>
                        <w:rPr>
                          <w:rStyle w:val="9"/>
                          <w:rFonts w:hint="eastAsia"/>
                          <w:sz w:val="18"/>
                          <w:szCs w:val="18"/>
                        </w:rPr>
                        <w:t>www.99fund.com</w:t>
                      </w:r>
                      <w:r>
                        <w:rPr>
                          <w:rStyle w:val="9"/>
                          <w:rFonts w:hint="eastAsia"/>
                          <w:sz w:val="18"/>
                          <w:szCs w:val="18"/>
                        </w:rPr>
                        <w:fldChar w:fldCharType="end"/>
                      </w:r>
                      <w:r>
                        <w:rPr>
                          <w:rFonts w:hint="eastAsia"/>
                          <w:sz w:val="18"/>
                          <w:szCs w:val="18"/>
                        </w:rPr>
                        <w:t xml:space="preserve"> </w:t>
                      </w:r>
                      <w:r>
                        <w:rPr>
                          <w:rFonts w:hint="eastAsia"/>
                          <w:b/>
                          <w:sz w:val="18"/>
                          <w:szCs w:val="18"/>
                        </w:rPr>
                        <w:t xml:space="preserve">办公地址  </w:t>
                      </w:r>
                      <w:r>
                        <w:rPr>
                          <w:rFonts w:hint="eastAsia" w:ascii="Calibri" w:hAnsi="Calibri"/>
                          <w:sz w:val="18"/>
                          <w:szCs w:val="18"/>
                        </w:rPr>
                        <w:t>上海市浦东新区樱花路</w:t>
                      </w:r>
                      <w:r>
                        <w:rPr>
                          <w:rFonts w:ascii="Calibri" w:hAnsi="Calibri"/>
                          <w:sz w:val="18"/>
                          <w:szCs w:val="18"/>
                        </w:rPr>
                        <w:t>868</w:t>
                      </w:r>
                      <w:r>
                        <w:rPr>
                          <w:rFonts w:hint="eastAsia" w:ascii="Calibri" w:hAnsi="Calibri"/>
                          <w:sz w:val="18"/>
                          <w:szCs w:val="18"/>
                        </w:rPr>
                        <w:t>号建工大唐国际广场A座</w:t>
                      </w:r>
                      <w:r>
                        <w:rPr>
                          <w:rFonts w:ascii="Calibri" w:hAnsi="Calibri"/>
                          <w:sz w:val="18"/>
                          <w:szCs w:val="18"/>
                        </w:rPr>
                        <w:t>7</w:t>
                      </w:r>
                      <w:r>
                        <w:rPr>
                          <w:rFonts w:hint="eastAsia" w:ascii="Calibri" w:hAnsi="Calibri"/>
                          <w:sz w:val="18"/>
                          <w:szCs w:val="18"/>
                        </w:rPr>
                        <w:t>楼 直销中心</w:t>
                      </w:r>
                      <w:r>
                        <w:rPr>
                          <w:rFonts w:hint="eastAsia"/>
                          <w:sz w:val="18"/>
                          <w:szCs w:val="18"/>
                        </w:rPr>
                        <w:t xml:space="preserve"> </w:t>
                      </w:r>
                    </w:p>
                    <w:p w14:paraId="383C3866">
                      <w:pPr>
                        <w:ind w:firstLine="177" w:firstLineChars="98"/>
                        <w:rPr>
                          <w:sz w:val="18"/>
                          <w:szCs w:val="18"/>
                        </w:rPr>
                      </w:pPr>
                      <w:r>
                        <w:rPr>
                          <w:rFonts w:hint="eastAsia"/>
                          <w:b/>
                          <w:sz w:val="18"/>
                          <w:szCs w:val="18"/>
                        </w:rPr>
                        <w:t xml:space="preserve">邮政编码 </w:t>
                      </w:r>
                      <w:r>
                        <w:rPr>
                          <w:rFonts w:hint="eastAsia"/>
                          <w:sz w:val="18"/>
                          <w:szCs w:val="18"/>
                        </w:rPr>
                        <w:t>201204</w:t>
                      </w:r>
                    </w:p>
                    <w:p w14:paraId="383C3867">
                      <w:pPr>
                        <w:rPr>
                          <w:sz w:val="18"/>
                          <w:szCs w:val="18"/>
                        </w:rPr>
                      </w:pP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margin">
                  <wp:posOffset>-363220</wp:posOffset>
                </wp:positionH>
                <wp:positionV relativeFrom="paragraph">
                  <wp:posOffset>5134610</wp:posOffset>
                </wp:positionV>
                <wp:extent cx="6504940" cy="1659890"/>
                <wp:effectExtent l="0" t="0" r="0" b="0"/>
                <wp:wrapNone/>
                <wp:docPr id="5" name="矩形 6"/>
                <wp:cNvGraphicFramePr/>
                <a:graphic xmlns:a="http://schemas.openxmlformats.org/drawingml/2006/main">
                  <a:graphicData uri="http://schemas.microsoft.com/office/word/2010/wordprocessingShape">
                    <wps:wsp>
                      <wps:cNvSpPr>
                        <a:spLocks noChangeArrowheads="1"/>
                      </wps:cNvSpPr>
                      <wps:spPr bwMode="auto">
                        <a:xfrm>
                          <a:off x="0" y="0"/>
                          <a:ext cx="6504940" cy="1659988"/>
                        </a:xfrm>
                        <a:prstGeom prst="rect">
                          <a:avLst/>
                        </a:prstGeom>
                        <a:solidFill>
                          <a:srgbClr val="FFFFFF"/>
                        </a:solidFill>
                        <a:ln>
                          <a:noFill/>
                        </a:ln>
                      </wps:spPr>
                      <wps:txbx>
                        <w:txbxContent>
                          <w:p w14:paraId="383C3879">
                            <w:pPr>
                              <w:spacing w:line="240" w:lineRule="exact"/>
                              <w:jc w:val="center"/>
                              <w:rPr>
                                <w:b/>
                                <w:sz w:val="18"/>
                                <w:szCs w:val="18"/>
                              </w:rPr>
                            </w:pPr>
                            <w:r>
                              <w:rPr>
                                <w:rFonts w:hint="eastAsia"/>
                                <w:b/>
                                <w:sz w:val="18"/>
                                <w:szCs w:val="18"/>
                              </w:rPr>
                              <w:t>直 销 资 金 账 户 信 息</w:t>
                            </w:r>
                          </w:p>
                          <w:tbl>
                            <w:tblPr>
                              <w:tblStyle w:val="7"/>
                              <w:tblW w:w="9747" w:type="dxa"/>
                              <w:tblInd w:w="0" w:type="dxa"/>
                              <w:tblBorders>
                                <w:top w:val="double" w:color="auto" w:sz="6" w:space="0"/>
                                <w:left w:val="double" w:color="auto" w:sz="6" w:space="0"/>
                                <w:bottom w:val="double" w:color="auto" w:sz="6" w:space="0"/>
                                <w:right w:val="double" w:color="auto" w:sz="6" w:space="0"/>
                                <w:insideH w:val="double" w:color="auto" w:sz="6" w:space="0"/>
                                <w:insideV w:val="double" w:color="auto" w:sz="6" w:space="0"/>
                              </w:tblBorders>
                              <w:tblLayout w:type="fixed"/>
                              <w:tblCellMar>
                                <w:top w:w="0" w:type="dxa"/>
                                <w:left w:w="108" w:type="dxa"/>
                                <w:bottom w:w="0" w:type="dxa"/>
                                <w:right w:w="108" w:type="dxa"/>
                              </w:tblCellMar>
                            </w:tblPr>
                            <w:tblGrid>
                              <w:gridCol w:w="3298"/>
                              <w:gridCol w:w="3898"/>
                              <w:gridCol w:w="2551"/>
                            </w:tblGrid>
                            <w:tr w14:paraId="383C387D">
                              <w:tblPrEx>
                                <w:tblBorders>
                                  <w:top w:val="double" w:color="auto" w:sz="6" w:space="0"/>
                                  <w:left w:val="double" w:color="auto" w:sz="6" w:space="0"/>
                                  <w:bottom w:val="double" w:color="auto" w:sz="6" w:space="0"/>
                                  <w:right w:val="double" w:color="auto" w:sz="6" w:space="0"/>
                                  <w:insideH w:val="double" w:color="auto" w:sz="6" w:space="0"/>
                                  <w:insideV w:val="double" w:color="auto" w:sz="6" w:space="0"/>
                                </w:tblBorders>
                                <w:tblCellMar>
                                  <w:top w:w="0" w:type="dxa"/>
                                  <w:left w:w="108" w:type="dxa"/>
                                  <w:bottom w:w="0" w:type="dxa"/>
                                  <w:right w:w="108" w:type="dxa"/>
                                </w:tblCellMar>
                              </w:tblPrEx>
                              <w:trPr>
                                <w:trHeight w:val="195" w:hRule="atLeast"/>
                              </w:trPr>
                              <w:tc>
                                <w:tcPr>
                                  <w:tcW w:w="3298" w:type="dxa"/>
                                  <w:shd w:val="clear" w:color="auto" w:fill="E6E6E6"/>
                                  <w:noWrap/>
                                  <w:vAlign w:val="bottom"/>
                                </w:tcPr>
                                <w:p w14:paraId="383C387A">
                                  <w:pPr>
                                    <w:widowControl/>
                                    <w:jc w:val="center"/>
                                    <w:rPr>
                                      <w:rFonts w:hint="eastAsia" w:ascii="宋体" w:hAnsi="宋体" w:cs="宋体"/>
                                      <w:b/>
                                      <w:kern w:val="0"/>
                                      <w:sz w:val="18"/>
                                      <w:szCs w:val="18"/>
                                    </w:rPr>
                                  </w:pPr>
                                  <w:r>
                                    <w:rPr>
                                      <w:rFonts w:hint="eastAsia" w:ascii="宋体" w:hAnsi="宋体" w:cs="宋体"/>
                                      <w:b/>
                                      <w:kern w:val="0"/>
                                      <w:sz w:val="18"/>
                                      <w:szCs w:val="18"/>
                                    </w:rPr>
                                    <w:t>银行户名</w:t>
                                  </w:r>
                                </w:p>
                              </w:tc>
                              <w:tc>
                                <w:tcPr>
                                  <w:tcW w:w="3898" w:type="dxa"/>
                                  <w:shd w:val="clear" w:color="auto" w:fill="E6E6E6"/>
                                  <w:noWrap/>
                                  <w:vAlign w:val="bottom"/>
                                </w:tcPr>
                                <w:p w14:paraId="383C387B">
                                  <w:pPr>
                                    <w:widowControl/>
                                    <w:jc w:val="center"/>
                                    <w:rPr>
                                      <w:rFonts w:hint="eastAsia" w:ascii="宋体" w:hAnsi="宋体" w:cs="宋体"/>
                                      <w:b/>
                                      <w:kern w:val="0"/>
                                      <w:sz w:val="18"/>
                                      <w:szCs w:val="18"/>
                                    </w:rPr>
                                  </w:pPr>
                                  <w:r>
                                    <w:rPr>
                                      <w:rFonts w:hint="eastAsia" w:ascii="宋体" w:hAnsi="宋体" w:cs="宋体"/>
                                      <w:b/>
                                      <w:kern w:val="0"/>
                                      <w:sz w:val="18"/>
                                      <w:szCs w:val="18"/>
                                    </w:rPr>
                                    <w:t>开户行</w:t>
                                  </w:r>
                                </w:p>
                              </w:tc>
                              <w:tc>
                                <w:tcPr>
                                  <w:tcW w:w="2551" w:type="dxa"/>
                                  <w:shd w:val="clear" w:color="auto" w:fill="E6E6E6"/>
                                  <w:noWrap/>
                                  <w:vAlign w:val="bottom"/>
                                </w:tcPr>
                                <w:p w14:paraId="383C387C">
                                  <w:pPr>
                                    <w:widowControl/>
                                    <w:jc w:val="center"/>
                                    <w:rPr>
                                      <w:rFonts w:hint="eastAsia" w:ascii="宋体" w:hAnsi="宋体" w:cs="宋体"/>
                                      <w:b/>
                                      <w:kern w:val="0"/>
                                      <w:sz w:val="18"/>
                                      <w:szCs w:val="18"/>
                                    </w:rPr>
                                  </w:pPr>
                                  <w:r>
                                    <w:rPr>
                                      <w:rFonts w:hint="eastAsia" w:ascii="宋体" w:hAnsi="宋体" w:cs="宋体"/>
                                      <w:b/>
                                      <w:kern w:val="0"/>
                                      <w:sz w:val="18"/>
                                      <w:szCs w:val="18"/>
                                    </w:rPr>
                                    <w:t>银行账号</w:t>
                                  </w:r>
                                </w:p>
                              </w:tc>
                            </w:tr>
                            <w:tr w14:paraId="383C3881">
                              <w:tblPrEx>
                                <w:tblBorders>
                                  <w:top w:val="double" w:color="auto" w:sz="6" w:space="0"/>
                                  <w:left w:val="double" w:color="auto" w:sz="6" w:space="0"/>
                                  <w:bottom w:val="double" w:color="auto" w:sz="6" w:space="0"/>
                                  <w:right w:val="double" w:color="auto" w:sz="6" w:space="0"/>
                                  <w:insideH w:val="double" w:color="auto" w:sz="6" w:space="0"/>
                                  <w:insideV w:val="double" w:color="auto" w:sz="6" w:space="0"/>
                                </w:tblBorders>
                                <w:tblCellMar>
                                  <w:top w:w="0" w:type="dxa"/>
                                  <w:left w:w="108" w:type="dxa"/>
                                  <w:bottom w:w="0" w:type="dxa"/>
                                  <w:right w:w="108" w:type="dxa"/>
                                </w:tblCellMar>
                              </w:tblPrEx>
                              <w:trPr>
                                <w:trHeight w:val="202" w:hRule="atLeast"/>
                              </w:trPr>
                              <w:tc>
                                <w:tcPr>
                                  <w:tcW w:w="3298" w:type="dxa"/>
                                  <w:noWrap/>
                                  <w:vAlign w:val="bottom"/>
                                </w:tcPr>
                                <w:p w14:paraId="383C387E">
                                  <w:pPr>
                                    <w:widowControl/>
                                    <w:jc w:val="left"/>
                                    <w:rPr>
                                      <w:rFonts w:hint="eastAsia" w:ascii="宋体" w:hAnsi="宋体" w:cs="宋体"/>
                                      <w:kern w:val="0"/>
                                      <w:sz w:val="18"/>
                                      <w:szCs w:val="18"/>
                                    </w:rPr>
                                  </w:pPr>
                                  <w:r>
                                    <w:rPr>
                                      <w:rFonts w:hint="eastAsia" w:ascii="宋体" w:hAnsi="宋体" w:cs="宋体"/>
                                      <w:kern w:val="0"/>
                                      <w:sz w:val="18"/>
                                      <w:szCs w:val="18"/>
                                    </w:rPr>
                                    <w:t>汇添富基金管理股份有限公司直销专户</w:t>
                                  </w:r>
                                </w:p>
                              </w:tc>
                              <w:tc>
                                <w:tcPr>
                                  <w:tcW w:w="3898" w:type="dxa"/>
                                  <w:noWrap/>
                                  <w:vAlign w:val="bottom"/>
                                </w:tcPr>
                                <w:p w14:paraId="383C387F">
                                  <w:pPr>
                                    <w:widowControl/>
                                    <w:spacing w:line="360" w:lineRule="exact"/>
                                    <w:jc w:val="left"/>
                                    <w:rPr>
                                      <w:rFonts w:hint="eastAsia" w:ascii="宋体" w:hAnsi="宋体" w:cs="宋体"/>
                                      <w:kern w:val="0"/>
                                      <w:sz w:val="18"/>
                                      <w:szCs w:val="18"/>
                                    </w:rPr>
                                  </w:pPr>
                                  <w:r>
                                    <w:rPr>
                                      <w:rFonts w:hint="eastAsia" w:ascii="宋体" w:hAnsi="宋体" w:cs="宋体"/>
                                      <w:kern w:val="0"/>
                                      <w:sz w:val="18"/>
                                      <w:szCs w:val="18"/>
                                    </w:rPr>
                                    <w:t>浦发银行上海卢湾支行</w:t>
                                  </w:r>
                                </w:p>
                              </w:tc>
                              <w:tc>
                                <w:tcPr>
                                  <w:tcW w:w="2551" w:type="dxa"/>
                                  <w:noWrap/>
                                  <w:vAlign w:val="bottom"/>
                                </w:tcPr>
                                <w:p w14:paraId="383C3880">
                                  <w:pPr>
                                    <w:widowControl/>
                                    <w:spacing w:line="360" w:lineRule="exact"/>
                                    <w:jc w:val="left"/>
                                    <w:rPr>
                                      <w:rFonts w:hint="eastAsia" w:ascii="宋体" w:hAnsi="宋体" w:cs="宋体"/>
                                      <w:kern w:val="0"/>
                                      <w:sz w:val="18"/>
                                      <w:szCs w:val="18"/>
                                    </w:rPr>
                                  </w:pPr>
                                  <w:r>
                                    <w:rPr>
                                      <w:rFonts w:ascii="宋体" w:hAnsi="宋体" w:cs="宋体"/>
                                      <w:kern w:val="0"/>
                                      <w:sz w:val="18"/>
                                      <w:szCs w:val="18"/>
                                    </w:rPr>
                                    <w:t>98990153850000015</w:t>
                                  </w:r>
                                </w:p>
                              </w:tc>
                            </w:tr>
                            <w:tr w14:paraId="383C3885">
                              <w:tblPrEx>
                                <w:tblBorders>
                                  <w:top w:val="double" w:color="auto" w:sz="6" w:space="0"/>
                                  <w:left w:val="double" w:color="auto" w:sz="6" w:space="0"/>
                                  <w:bottom w:val="double" w:color="auto" w:sz="6" w:space="0"/>
                                  <w:right w:val="double" w:color="auto" w:sz="6" w:space="0"/>
                                  <w:insideH w:val="double" w:color="auto" w:sz="6" w:space="0"/>
                                  <w:insideV w:val="double" w:color="auto" w:sz="6" w:space="0"/>
                                </w:tblBorders>
                                <w:tblCellMar>
                                  <w:top w:w="0" w:type="dxa"/>
                                  <w:left w:w="108" w:type="dxa"/>
                                  <w:bottom w:w="0" w:type="dxa"/>
                                  <w:right w:w="108" w:type="dxa"/>
                                </w:tblCellMar>
                              </w:tblPrEx>
                              <w:trPr>
                                <w:trHeight w:val="227" w:hRule="atLeast"/>
                              </w:trPr>
                              <w:tc>
                                <w:tcPr>
                                  <w:tcW w:w="3298" w:type="dxa"/>
                                  <w:noWrap/>
                                  <w:vAlign w:val="bottom"/>
                                </w:tcPr>
                                <w:p w14:paraId="383C3882">
                                  <w:pPr>
                                    <w:widowControl/>
                                    <w:jc w:val="left"/>
                                    <w:rPr>
                                      <w:rFonts w:hint="eastAsia" w:ascii="宋体" w:hAnsi="宋体" w:cs="宋体"/>
                                      <w:kern w:val="0"/>
                                      <w:sz w:val="18"/>
                                      <w:szCs w:val="18"/>
                                    </w:rPr>
                                  </w:pPr>
                                  <w:r>
                                    <w:rPr>
                                      <w:rFonts w:hint="eastAsia" w:ascii="宋体" w:hAnsi="宋体" w:cs="宋体"/>
                                      <w:kern w:val="0"/>
                                      <w:sz w:val="18"/>
                                      <w:szCs w:val="18"/>
                                    </w:rPr>
                                    <w:t>汇添富基金管理股份有限公司直销专户</w:t>
                                  </w:r>
                                </w:p>
                              </w:tc>
                              <w:tc>
                                <w:tcPr>
                                  <w:tcW w:w="3898" w:type="dxa"/>
                                  <w:noWrap/>
                                  <w:vAlign w:val="bottom"/>
                                </w:tcPr>
                                <w:p w14:paraId="383C3883">
                                  <w:pPr>
                                    <w:widowControl/>
                                    <w:spacing w:line="360" w:lineRule="exact"/>
                                    <w:jc w:val="left"/>
                                    <w:rPr>
                                      <w:rFonts w:hint="eastAsia" w:ascii="宋体" w:hAnsi="宋体" w:cs="宋体"/>
                                      <w:kern w:val="0"/>
                                      <w:sz w:val="18"/>
                                      <w:szCs w:val="18"/>
                                    </w:rPr>
                                  </w:pPr>
                                  <w:r>
                                    <w:rPr>
                                      <w:rFonts w:hint="eastAsia" w:ascii="宋体" w:hAnsi="宋体" w:cs="宋体"/>
                                      <w:kern w:val="0"/>
                                      <w:sz w:val="18"/>
                                      <w:szCs w:val="18"/>
                                    </w:rPr>
                                    <w:t>招商银行上海徐家汇支行</w:t>
                                  </w:r>
                                </w:p>
                              </w:tc>
                              <w:tc>
                                <w:tcPr>
                                  <w:tcW w:w="2551" w:type="dxa"/>
                                  <w:noWrap/>
                                  <w:vAlign w:val="bottom"/>
                                </w:tcPr>
                                <w:p w14:paraId="383C3884">
                                  <w:pPr>
                                    <w:widowControl/>
                                    <w:spacing w:line="360" w:lineRule="exact"/>
                                    <w:jc w:val="left"/>
                                    <w:rPr>
                                      <w:rFonts w:hint="eastAsia" w:ascii="宋体" w:hAnsi="宋体" w:cs="宋体"/>
                                      <w:kern w:val="0"/>
                                      <w:sz w:val="18"/>
                                      <w:szCs w:val="18"/>
                                    </w:rPr>
                                  </w:pPr>
                                  <w:r>
                                    <w:rPr>
                                      <w:rFonts w:ascii="宋体" w:hAnsi="宋体" w:cs="宋体"/>
                                      <w:kern w:val="0"/>
                                      <w:sz w:val="18"/>
                                      <w:szCs w:val="18"/>
                                    </w:rPr>
                                    <w:t>121902331810623</w:t>
                                  </w:r>
                                </w:p>
                              </w:tc>
                            </w:tr>
                            <w:tr w14:paraId="383C3889">
                              <w:tblPrEx>
                                <w:tblBorders>
                                  <w:top w:val="double" w:color="auto" w:sz="6" w:space="0"/>
                                  <w:left w:val="double" w:color="auto" w:sz="6" w:space="0"/>
                                  <w:bottom w:val="double" w:color="auto" w:sz="6" w:space="0"/>
                                  <w:right w:val="double" w:color="auto" w:sz="6" w:space="0"/>
                                  <w:insideH w:val="double" w:color="auto" w:sz="6" w:space="0"/>
                                  <w:insideV w:val="double" w:color="auto" w:sz="6" w:space="0"/>
                                </w:tblBorders>
                                <w:tblCellMar>
                                  <w:top w:w="0" w:type="dxa"/>
                                  <w:left w:w="108" w:type="dxa"/>
                                  <w:bottom w:w="0" w:type="dxa"/>
                                  <w:right w:w="108" w:type="dxa"/>
                                </w:tblCellMar>
                              </w:tblPrEx>
                              <w:trPr>
                                <w:trHeight w:val="230" w:hRule="atLeast"/>
                              </w:trPr>
                              <w:tc>
                                <w:tcPr>
                                  <w:tcW w:w="3298" w:type="dxa"/>
                                  <w:noWrap/>
                                  <w:vAlign w:val="bottom"/>
                                </w:tcPr>
                                <w:p w14:paraId="383C3886">
                                  <w:pPr>
                                    <w:widowControl/>
                                    <w:jc w:val="left"/>
                                    <w:rPr>
                                      <w:rFonts w:hint="eastAsia" w:ascii="宋体" w:hAnsi="宋体" w:cs="宋体"/>
                                      <w:kern w:val="0"/>
                                      <w:sz w:val="18"/>
                                      <w:szCs w:val="18"/>
                                    </w:rPr>
                                  </w:pPr>
                                  <w:r>
                                    <w:rPr>
                                      <w:rFonts w:hint="eastAsia" w:ascii="宋体" w:hAnsi="宋体" w:cs="宋体"/>
                                      <w:kern w:val="0"/>
                                      <w:sz w:val="18"/>
                                      <w:szCs w:val="18"/>
                                    </w:rPr>
                                    <w:t>汇添富基金管理股份有限公司直销专户</w:t>
                                  </w:r>
                                </w:p>
                              </w:tc>
                              <w:tc>
                                <w:tcPr>
                                  <w:tcW w:w="3898" w:type="dxa"/>
                                  <w:noWrap/>
                                  <w:vAlign w:val="bottom"/>
                                </w:tcPr>
                                <w:p w14:paraId="383C3887">
                                  <w:pPr>
                                    <w:widowControl/>
                                    <w:spacing w:line="360" w:lineRule="exact"/>
                                    <w:jc w:val="left"/>
                                    <w:rPr>
                                      <w:rFonts w:hint="eastAsia" w:ascii="宋体" w:hAnsi="宋体" w:cs="宋体"/>
                                      <w:kern w:val="0"/>
                                      <w:sz w:val="18"/>
                                      <w:szCs w:val="18"/>
                                    </w:rPr>
                                  </w:pPr>
                                  <w:r>
                                    <w:rPr>
                                      <w:rFonts w:hint="eastAsia" w:ascii="宋体" w:hAnsi="宋体"/>
                                      <w:color w:val="000000"/>
                                      <w:sz w:val="20"/>
                                      <w:szCs w:val="20"/>
                                    </w:rPr>
                                    <w:t>中国工商银行上海市分行营业部证券专柜</w:t>
                                  </w:r>
                                </w:p>
                              </w:tc>
                              <w:tc>
                                <w:tcPr>
                                  <w:tcW w:w="2551" w:type="dxa"/>
                                  <w:noWrap/>
                                  <w:vAlign w:val="bottom"/>
                                </w:tcPr>
                                <w:p w14:paraId="383C3888">
                                  <w:pPr>
                                    <w:widowControl/>
                                    <w:spacing w:line="360" w:lineRule="exact"/>
                                    <w:jc w:val="left"/>
                                    <w:rPr>
                                      <w:rFonts w:hint="eastAsia" w:ascii="宋体" w:hAnsi="宋体" w:cs="宋体"/>
                                      <w:kern w:val="0"/>
                                      <w:sz w:val="18"/>
                                      <w:szCs w:val="18"/>
                                    </w:rPr>
                                  </w:pPr>
                                  <w:r>
                                    <w:rPr>
                                      <w:rFonts w:ascii="宋体" w:hAnsi="宋体" w:cs="宋体"/>
                                      <w:kern w:val="0"/>
                                      <w:sz w:val="18"/>
                                      <w:szCs w:val="18"/>
                                    </w:rPr>
                                    <w:t>1001202929025807250</w:t>
                                  </w:r>
                                </w:p>
                              </w:tc>
                            </w:tr>
                            <w:tr w14:paraId="383C388D">
                              <w:tblPrEx>
                                <w:tblBorders>
                                  <w:top w:val="double" w:color="auto" w:sz="6" w:space="0"/>
                                  <w:left w:val="double" w:color="auto" w:sz="6" w:space="0"/>
                                  <w:bottom w:val="double" w:color="auto" w:sz="6" w:space="0"/>
                                  <w:right w:val="double" w:color="auto" w:sz="6" w:space="0"/>
                                  <w:insideH w:val="double" w:color="auto" w:sz="6" w:space="0"/>
                                  <w:insideV w:val="double" w:color="auto" w:sz="6" w:space="0"/>
                                </w:tblBorders>
                                <w:tblCellMar>
                                  <w:top w:w="0" w:type="dxa"/>
                                  <w:left w:w="108" w:type="dxa"/>
                                  <w:bottom w:w="0" w:type="dxa"/>
                                  <w:right w:w="108" w:type="dxa"/>
                                </w:tblCellMar>
                              </w:tblPrEx>
                              <w:trPr>
                                <w:trHeight w:val="250" w:hRule="atLeast"/>
                              </w:trPr>
                              <w:tc>
                                <w:tcPr>
                                  <w:tcW w:w="3298" w:type="dxa"/>
                                  <w:noWrap/>
                                  <w:vAlign w:val="bottom"/>
                                </w:tcPr>
                                <w:p w14:paraId="383C388A">
                                  <w:pPr>
                                    <w:widowControl/>
                                    <w:jc w:val="left"/>
                                    <w:rPr>
                                      <w:rFonts w:hint="eastAsia" w:ascii="宋体" w:hAnsi="宋体" w:cs="宋体"/>
                                      <w:kern w:val="0"/>
                                      <w:sz w:val="18"/>
                                      <w:szCs w:val="18"/>
                                    </w:rPr>
                                  </w:pPr>
                                  <w:r>
                                    <w:rPr>
                                      <w:rFonts w:hint="eastAsia" w:ascii="宋体" w:hAnsi="宋体" w:cs="宋体"/>
                                      <w:kern w:val="0"/>
                                      <w:sz w:val="18"/>
                                      <w:szCs w:val="18"/>
                                    </w:rPr>
                                    <w:t>汇添富基金管理股份有限公司直销专户</w:t>
                                  </w:r>
                                </w:p>
                              </w:tc>
                              <w:tc>
                                <w:tcPr>
                                  <w:tcW w:w="3898" w:type="dxa"/>
                                  <w:noWrap/>
                                  <w:vAlign w:val="bottom"/>
                                </w:tcPr>
                                <w:p w14:paraId="383C388B">
                                  <w:pPr>
                                    <w:widowControl/>
                                    <w:spacing w:line="360" w:lineRule="exact"/>
                                    <w:jc w:val="left"/>
                                    <w:rPr>
                                      <w:rFonts w:hint="eastAsia" w:ascii="宋体" w:hAnsi="宋体" w:cs="宋体"/>
                                      <w:kern w:val="0"/>
                                      <w:sz w:val="18"/>
                                      <w:szCs w:val="18"/>
                                    </w:rPr>
                                  </w:pPr>
                                  <w:r>
                                    <w:rPr>
                                      <w:rFonts w:hint="eastAsia" w:ascii="宋体" w:hAnsi="宋体" w:cs="宋体"/>
                                      <w:kern w:val="0"/>
                                      <w:sz w:val="18"/>
                                      <w:szCs w:val="18"/>
                                    </w:rPr>
                                    <w:t>兴业银行股份有限公司上海分行营业部</w:t>
                                  </w:r>
                                </w:p>
                              </w:tc>
                              <w:tc>
                                <w:tcPr>
                                  <w:tcW w:w="2551" w:type="dxa"/>
                                  <w:noWrap/>
                                  <w:vAlign w:val="bottom"/>
                                </w:tcPr>
                                <w:p w14:paraId="383C388C">
                                  <w:pPr>
                                    <w:widowControl/>
                                    <w:spacing w:line="360" w:lineRule="exact"/>
                                    <w:jc w:val="left"/>
                                    <w:rPr>
                                      <w:rFonts w:hint="eastAsia" w:ascii="宋体" w:hAnsi="宋体" w:cs="宋体"/>
                                      <w:kern w:val="0"/>
                                      <w:sz w:val="18"/>
                                      <w:szCs w:val="18"/>
                                    </w:rPr>
                                  </w:pPr>
                                  <w:r>
                                    <w:rPr>
                                      <w:rFonts w:ascii="宋体" w:hAnsi="宋体" w:cs="宋体"/>
                                      <w:kern w:val="0"/>
                                      <w:sz w:val="18"/>
                                      <w:szCs w:val="18"/>
                                    </w:rPr>
                                    <w:t>216200100101516289</w:t>
                                  </w:r>
                                </w:p>
                              </w:tc>
                            </w:tr>
                          </w:tbl>
                          <w:p w14:paraId="383C388E">
                            <w:pPr>
                              <w:rPr>
                                <w:b/>
                                <w:sz w:val="18"/>
                                <w:szCs w:val="18"/>
                              </w:rPr>
                            </w:pPr>
                          </w:p>
                        </w:txbxContent>
                      </wps:txbx>
                      <wps:bodyPr rot="0" vert="horz" wrap="square" lIns="91440" tIns="45720" rIns="91440" bIns="45720" anchor="t" anchorCtr="0" upright="1">
                        <a:noAutofit/>
                      </wps:bodyPr>
                    </wps:wsp>
                  </a:graphicData>
                </a:graphic>
              </wp:anchor>
            </w:drawing>
          </mc:Choice>
          <mc:Fallback>
            <w:pict>
              <v:rect id="矩形 6" o:spid="_x0000_s1026" o:spt="1" style="position:absolute;left:0pt;margin-left:-28.6pt;margin-top:404.3pt;height:130.7pt;width:512.2pt;mso-position-horizontal-relative:margin;z-index:251662336;mso-width-relative:page;mso-height-relative:page;" fillcolor="#FFFFFF" filled="t" stroked="f" coordsize="21600,21600" o:gfxdata="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NxG1f&#10;2AAAAAwBAAAPAAAAAAAAAAEAIAAAACIAAABkcnMvZG93bnJldi54bWxQSwECFAAUAAAACACHTuJA&#10;RwNBpSECAAAyBAAADgAAAAAAAAABACAAAAAnAQAAZHJzL2Uyb0RvYy54bWxQSwUGAAAAAAYABgBZ&#10;AQAAugUAAAAA&#10;">
                <v:fill on="t" focussize="0,0"/>
                <v:stroke on="f"/>
                <v:imagedata o:title=""/>
                <o:lock v:ext="edit" aspectratio="f"/>
                <v:textbox>
                  <w:txbxContent>
                    <w:p w14:paraId="383C3879">
                      <w:pPr>
                        <w:spacing w:line="240" w:lineRule="exact"/>
                        <w:jc w:val="center"/>
                        <w:rPr>
                          <w:b/>
                          <w:sz w:val="18"/>
                          <w:szCs w:val="18"/>
                        </w:rPr>
                      </w:pPr>
                      <w:r>
                        <w:rPr>
                          <w:rFonts w:hint="eastAsia"/>
                          <w:b/>
                          <w:sz w:val="18"/>
                          <w:szCs w:val="18"/>
                        </w:rPr>
                        <w:t>直 销 资 金 账 户 信 息</w:t>
                      </w:r>
                    </w:p>
                    <w:tbl>
                      <w:tblPr>
                        <w:tblStyle w:val="7"/>
                        <w:tblW w:w="9747" w:type="dxa"/>
                        <w:tblInd w:w="0" w:type="dxa"/>
                        <w:tblBorders>
                          <w:top w:val="double" w:color="auto" w:sz="6" w:space="0"/>
                          <w:left w:val="double" w:color="auto" w:sz="6" w:space="0"/>
                          <w:bottom w:val="double" w:color="auto" w:sz="6" w:space="0"/>
                          <w:right w:val="double" w:color="auto" w:sz="6" w:space="0"/>
                          <w:insideH w:val="double" w:color="auto" w:sz="6" w:space="0"/>
                          <w:insideV w:val="double" w:color="auto" w:sz="6" w:space="0"/>
                        </w:tblBorders>
                        <w:tblLayout w:type="fixed"/>
                        <w:tblCellMar>
                          <w:top w:w="0" w:type="dxa"/>
                          <w:left w:w="108" w:type="dxa"/>
                          <w:bottom w:w="0" w:type="dxa"/>
                          <w:right w:w="108" w:type="dxa"/>
                        </w:tblCellMar>
                      </w:tblPr>
                      <w:tblGrid>
                        <w:gridCol w:w="3298"/>
                        <w:gridCol w:w="3898"/>
                        <w:gridCol w:w="2551"/>
                      </w:tblGrid>
                      <w:tr w14:paraId="383C387D">
                        <w:tblPrEx>
                          <w:tblBorders>
                            <w:top w:val="double" w:color="auto" w:sz="6" w:space="0"/>
                            <w:left w:val="double" w:color="auto" w:sz="6" w:space="0"/>
                            <w:bottom w:val="double" w:color="auto" w:sz="6" w:space="0"/>
                            <w:right w:val="double" w:color="auto" w:sz="6" w:space="0"/>
                            <w:insideH w:val="double" w:color="auto" w:sz="6" w:space="0"/>
                            <w:insideV w:val="double" w:color="auto" w:sz="6" w:space="0"/>
                          </w:tblBorders>
                          <w:tblCellMar>
                            <w:top w:w="0" w:type="dxa"/>
                            <w:left w:w="108" w:type="dxa"/>
                            <w:bottom w:w="0" w:type="dxa"/>
                            <w:right w:w="108" w:type="dxa"/>
                          </w:tblCellMar>
                        </w:tblPrEx>
                        <w:trPr>
                          <w:trHeight w:val="195" w:hRule="atLeast"/>
                        </w:trPr>
                        <w:tc>
                          <w:tcPr>
                            <w:tcW w:w="3298" w:type="dxa"/>
                            <w:shd w:val="clear" w:color="auto" w:fill="E6E6E6"/>
                            <w:noWrap/>
                            <w:vAlign w:val="bottom"/>
                          </w:tcPr>
                          <w:p w14:paraId="383C387A">
                            <w:pPr>
                              <w:widowControl/>
                              <w:jc w:val="center"/>
                              <w:rPr>
                                <w:rFonts w:hint="eastAsia" w:ascii="宋体" w:hAnsi="宋体" w:cs="宋体"/>
                                <w:b/>
                                <w:kern w:val="0"/>
                                <w:sz w:val="18"/>
                                <w:szCs w:val="18"/>
                              </w:rPr>
                            </w:pPr>
                            <w:r>
                              <w:rPr>
                                <w:rFonts w:hint="eastAsia" w:ascii="宋体" w:hAnsi="宋体" w:cs="宋体"/>
                                <w:b/>
                                <w:kern w:val="0"/>
                                <w:sz w:val="18"/>
                                <w:szCs w:val="18"/>
                              </w:rPr>
                              <w:t>银行户名</w:t>
                            </w:r>
                          </w:p>
                        </w:tc>
                        <w:tc>
                          <w:tcPr>
                            <w:tcW w:w="3898" w:type="dxa"/>
                            <w:shd w:val="clear" w:color="auto" w:fill="E6E6E6"/>
                            <w:noWrap/>
                            <w:vAlign w:val="bottom"/>
                          </w:tcPr>
                          <w:p w14:paraId="383C387B">
                            <w:pPr>
                              <w:widowControl/>
                              <w:jc w:val="center"/>
                              <w:rPr>
                                <w:rFonts w:hint="eastAsia" w:ascii="宋体" w:hAnsi="宋体" w:cs="宋体"/>
                                <w:b/>
                                <w:kern w:val="0"/>
                                <w:sz w:val="18"/>
                                <w:szCs w:val="18"/>
                              </w:rPr>
                            </w:pPr>
                            <w:r>
                              <w:rPr>
                                <w:rFonts w:hint="eastAsia" w:ascii="宋体" w:hAnsi="宋体" w:cs="宋体"/>
                                <w:b/>
                                <w:kern w:val="0"/>
                                <w:sz w:val="18"/>
                                <w:szCs w:val="18"/>
                              </w:rPr>
                              <w:t>开户行</w:t>
                            </w:r>
                          </w:p>
                        </w:tc>
                        <w:tc>
                          <w:tcPr>
                            <w:tcW w:w="2551" w:type="dxa"/>
                            <w:shd w:val="clear" w:color="auto" w:fill="E6E6E6"/>
                            <w:noWrap/>
                            <w:vAlign w:val="bottom"/>
                          </w:tcPr>
                          <w:p w14:paraId="383C387C">
                            <w:pPr>
                              <w:widowControl/>
                              <w:jc w:val="center"/>
                              <w:rPr>
                                <w:rFonts w:hint="eastAsia" w:ascii="宋体" w:hAnsi="宋体" w:cs="宋体"/>
                                <w:b/>
                                <w:kern w:val="0"/>
                                <w:sz w:val="18"/>
                                <w:szCs w:val="18"/>
                              </w:rPr>
                            </w:pPr>
                            <w:r>
                              <w:rPr>
                                <w:rFonts w:hint="eastAsia" w:ascii="宋体" w:hAnsi="宋体" w:cs="宋体"/>
                                <w:b/>
                                <w:kern w:val="0"/>
                                <w:sz w:val="18"/>
                                <w:szCs w:val="18"/>
                              </w:rPr>
                              <w:t>银行账号</w:t>
                            </w:r>
                          </w:p>
                        </w:tc>
                      </w:tr>
                      <w:tr w14:paraId="383C3881">
                        <w:tblPrEx>
                          <w:tblBorders>
                            <w:top w:val="double" w:color="auto" w:sz="6" w:space="0"/>
                            <w:left w:val="double" w:color="auto" w:sz="6" w:space="0"/>
                            <w:bottom w:val="double" w:color="auto" w:sz="6" w:space="0"/>
                            <w:right w:val="double" w:color="auto" w:sz="6" w:space="0"/>
                            <w:insideH w:val="double" w:color="auto" w:sz="6" w:space="0"/>
                            <w:insideV w:val="double" w:color="auto" w:sz="6" w:space="0"/>
                          </w:tblBorders>
                          <w:tblCellMar>
                            <w:top w:w="0" w:type="dxa"/>
                            <w:left w:w="108" w:type="dxa"/>
                            <w:bottom w:w="0" w:type="dxa"/>
                            <w:right w:w="108" w:type="dxa"/>
                          </w:tblCellMar>
                        </w:tblPrEx>
                        <w:trPr>
                          <w:trHeight w:val="202" w:hRule="atLeast"/>
                        </w:trPr>
                        <w:tc>
                          <w:tcPr>
                            <w:tcW w:w="3298" w:type="dxa"/>
                            <w:noWrap/>
                            <w:vAlign w:val="bottom"/>
                          </w:tcPr>
                          <w:p w14:paraId="383C387E">
                            <w:pPr>
                              <w:widowControl/>
                              <w:jc w:val="left"/>
                              <w:rPr>
                                <w:rFonts w:hint="eastAsia" w:ascii="宋体" w:hAnsi="宋体" w:cs="宋体"/>
                                <w:kern w:val="0"/>
                                <w:sz w:val="18"/>
                                <w:szCs w:val="18"/>
                              </w:rPr>
                            </w:pPr>
                            <w:r>
                              <w:rPr>
                                <w:rFonts w:hint="eastAsia" w:ascii="宋体" w:hAnsi="宋体" w:cs="宋体"/>
                                <w:kern w:val="0"/>
                                <w:sz w:val="18"/>
                                <w:szCs w:val="18"/>
                              </w:rPr>
                              <w:t>汇添富基金管理股份有限公司直销专户</w:t>
                            </w:r>
                          </w:p>
                        </w:tc>
                        <w:tc>
                          <w:tcPr>
                            <w:tcW w:w="3898" w:type="dxa"/>
                            <w:noWrap/>
                            <w:vAlign w:val="bottom"/>
                          </w:tcPr>
                          <w:p w14:paraId="383C387F">
                            <w:pPr>
                              <w:widowControl/>
                              <w:spacing w:line="360" w:lineRule="exact"/>
                              <w:jc w:val="left"/>
                              <w:rPr>
                                <w:rFonts w:hint="eastAsia" w:ascii="宋体" w:hAnsi="宋体" w:cs="宋体"/>
                                <w:kern w:val="0"/>
                                <w:sz w:val="18"/>
                                <w:szCs w:val="18"/>
                              </w:rPr>
                            </w:pPr>
                            <w:r>
                              <w:rPr>
                                <w:rFonts w:hint="eastAsia" w:ascii="宋体" w:hAnsi="宋体" w:cs="宋体"/>
                                <w:kern w:val="0"/>
                                <w:sz w:val="18"/>
                                <w:szCs w:val="18"/>
                              </w:rPr>
                              <w:t>浦发银行上海卢湾支行</w:t>
                            </w:r>
                          </w:p>
                        </w:tc>
                        <w:tc>
                          <w:tcPr>
                            <w:tcW w:w="2551" w:type="dxa"/>
                            <w:noWrap/>
                            <w:vAlign w:val="bottom"/>
                          </w:tcPr>
                          <w:p w14:paraId="383C3880">
                            <w:pPr>
                              <w:widowControl/>
                              <w:spacing w:line="360" w:lineRule="exact"/>
                              <w:jc w:val="left"/>
                              <w:rPr>
                                <w:rFonts w:hint="eastAsia" w:ascii="宋体" w:hAnsi="宋体" w:cs="宋体"/>
                                <w:kern w:val="0"/>
                                <w:sz w:val="18"/>
                                <w:szCs w:val="18"/>
                              </w:rPr>
                            </w:pPr>
                            <w:r>
                              <w:rPr>
                                <w:rFonts w:ascii="宋体" w:hAnsi="宋体" w:cs="宋体"/>
                                <w:kern w:val="0"/>
                                <w:sz w:val="18"/>
                                <w:szCs w:val="18"/>
                              </w:rPr>
                              <w:t>98990153850000015</w:t>
                            </w:r>
                          </w:p>
                        </w:tc>
                      </w:tr>
                      <w:tr w14:paraId="383C3885">
                        <w:tblPrEx>
                          <w:tblBorders>
                            <w:top w:val="double" w:color="auto" w:sz="6" w:space="0"/>
                            <w:left w:val="double" w:color="auto" w:sz="6" w:space="0"/>
                            <w:bottom w:val="double" w:color="auto" w:sz="6" w:space="0"/>
                            <w:right w:val="double" w:color="auto" w:sz="6" w:space="0"/>
                            <w:insideH w:val="double" w:color="auto" w:sz="6" w:space="0"/>
                            <w:insideV w:val="double" w:color="auto" w:sz="6" w:space="0"/>
                          </w:tblBorders>
                          <w:tblCellMar>
                            <w:top w:w="0" w:type="dxa"/>
                            <w:left w:w="108" w:type="dxa"/>
                            <w:bottom w:w="0" w:type="dxa"/>
                            <w:right w:w="108" w:type="dxa"/>
                          </w:tblCellMar>
                        </w:tblPrEx>
                        <w:trPr>
                          <w:trHeight w:val="227" w:hRule="atLeast"/>
                        </w:trPr>
                        <w:tc>
                          <w:tcPr>
                            <w:tcW w:w="3298" w:type="dxa"/>
                            <w:noWrap/>
                            <w:vAlign w:val="bottom"/>
                          </w:tcPr>
                          <w:p w14:paraId="383C3882">
                            <w:pPr>
                              <w:widowControl/>
                              <w:jc w:val="left"/>
                              <w:rPr>
                                <w:rFonts w:hint="eastAsia" w:ascii="宋体" w:hAnsi="宋体" w:cs="宋体"/>
                                <w:kern w:val="0"/>
                                <w:sz w:val="18"/>
                                <w:szCs w:val="18"/>
                              </w:rPr>
                            </w:pPr>
                            <w:r>
                              <w:rPr>
                                <w:rFonts w:hint="eastAsia" w:ascii="宋体" w:hAnsi="宋体" w:cs="宋体"/>
                                <w:kern w:val="0"/>
                                <w:sz w:val="18"/>
                                <w:szCs w:val="18"/>
                              </w:rPr>
                              <w:t>汇添富基金管理股份有限公司直销专户</w:t>
                            </w:r>
                          </w:p>
                        </w:tc>
                        <w:tc>
                          <w:tcPr>
                            <w:tcW w:w="3898" w:type="dxa"/>
                            <w:noWrap/>
                            <w:vAlign w:val="bottom"/>
                          </w:tcPr>
                          <w:p w14:paraId="383C3883">
                            <w:pPr>
                              <w:widowControl/>
                              <w:spacing w:line="360" w:lineRule="exact"/>
                              <w:jc w:val="left"/>
                              <w:rPr>
                                <w:rFonts w:hint="eastAsia" w:ascii="宋体" w:hAnsi="宋体" w:cs="宋体"/>
                                <w:kern w:val="0"/>
                                <w:sz w:val="18"/>
                                <w:szCs w:val="18"/>
                              </w:rPr>
                            </w:pPr>
                            <w:r>
                              <w:rPr>
                                <w:rFonts w:hint="eastAsia" w:ascii="宋体" w:hAnsi="宋体" w:cs="宋体"/>
                                <w:kern w:val="0"/>
                                <w:sz w:val="18"/>
                                <w:szCs w:val="18"/>
                              </w:rPr>
                              <w:t>招商银行上海徐家汇支行</w:t>
                            </w:r>
                          </w:p>
                        </w:tc>
                        <w:tc>
                          <w:tcPr>
                            <w:tcW w:w="2551" w:type="dxa"/>
                            <w:noWrap/>
                            <w:vAlign w:val="bottom"/>
                          </w:tcPr>
                          <w:p w14:paraId="383C3884">
                            <w:pPr>
                              <w:widowControl/>
                              <w:spacing w:line="360" w:lineRule="exact"/>
                              <w:jc w:val="left"/>
                              <w:rPr>
                                <w:rFonts w:hint="eastAsia" w:ascii="宋体" w:hAnsi="宋体" w:cs="宋体"/>
                                <w:kern w:val="0"/>
                                <w:sz w:val="18"/>
                                <w:szCs w:val="18"/>
                              </w:rPr>
                            </w:pPr>
                            <w:r>
                              <w:rPr>
                                <w:rFonts w:ascii="宋体" w:hAnsi="宋体" w:cs="宋体"/>
                                <w:kern w:val="0"/>
                                <w:sz w:val="18"/>
                                <w:szCs w:val="18"/>
                              </w:rPr>
                              <w:t>121902331810623</w:t>
                            </w:r>
                          </w:p>
                        </w:tc>
                      </w:tr>
                      <w:tr w14:paraId="383C3889">
                        <w:tblPrEx>
                          <w:tblBorders>
                            <w:top w:val="double" w:color="auto" w:sz="6" w:space="0"/>
                            <w:left w:val="double" w:color="auto" w:sz="6" w:space="0"/>
                            <w:bottom w:val="double" w:color="auto" w:sz="6" w:space="0"/>
                            <w:right w:val="double" w:color="auto" w:sz="6" w:space="0"/>
                            <w:insideH w:val="double" w:color="auto" w:sz="6" w:space="0"/>
                            <w:insideV w:val="double" w:color="auto" w:sz="6" w:space="0"/>
                          </w:tblBorders>
                          <w:tblCellMar>
                            <w:top w:w="0" w:type="dxa"/>
                            <w:left w:w="108" w:type="dxa"/>
                            <w:bottom w:w="0" w:type="dxa"/>
                            <w:right w:w="108" w:type="dxa"/>
                          </w:tblCellMar>
                        </w:tblPrEx>
                        <w:trPr>
                          <w:trHeight w:val="230" w:hRule="atLeast"/>
                        </w:trPr>
                        <w:tc>
                          <w:tcPr>
                            <w:tcW w:w="3298" w:type="dxa"/>
                            <w:noWrap/>
                            <w:vAlign w:val="bottom"/>
                          </w:tcPr>
                          <w:p w14:paraId="383C3886">
                            <w:pPr>
                              <w:widowControl/>
                              <w:jc w:val="left"/>
                              <w:rPr>
                                <w:rFonts w:hint="eastAsia" w:ascii="宋体" w:hAnsi="宋体" w:cs="宋体"/>
                                <w:kern w:val="0"/>
                                <w:sz w:val="18"/>
                                <w:szCs w:val="18"/>
                              </w:rPr>
                            </w:pPr>
                            <w:r>
                              <w:rPr>
                                <w:rFonts w:hint="eastAsia" w:ascii="宋体" w:hAnsi="宋体" w:cs="宋体"/>
                                <w:kern w:val="0"/>
                                <w:sz w:val="18"/>
                                <w:szCs w:val="18"/>
                              </w:rPr>
                              <w:t>汇添富基金管理股份有限公司直销专户</w:t>
                            </w:r>
                          </w:p>
                        </w:tc>
                        <w:tc>
                          <w:tcPr>
                            <w:tcW w:w="3898" w:type="dxa"/>
                            <w:noWrap/>
                            <w:vAlign w:val="bottom"/>
                          </w:tcPr>
                          <w:p w14:paraId="383C3887">
                            <w:pPr>
                              <w:widowControl/>
                              <w:spacing w:line="360" w:lineRule="exact"/>
                              <w:jc w:val="left"/>
                              <w:rPr>
                                <w:rFonts w:hint="eastAsia" w:ascii="宋体" w:hAnsi="宋体" w:cs="宋体"/>
                                <w:kern w:val="0"/>
                                <w:sz w:val="18"/>
                                <w:szCs w:val="18"/>
                              </w:rPr>
                            </w:pPr>
                            <w:r>
                              <w:rPr>
                                <w:rFonts w:hint="eastAsia" w:ascii="宋体" w:hAnsi="宋体"/>
                                <w:color w:val="000000"/>
                                <w:sz w:val="20"/>
                                <w:szCs w:val="20"/>
                              </w:rPr>
                              <w:t>中国工商银行上海市分行营业部证券专柜</w:t>
                            </w:r>
                          </w:p>
                        </w:tc>
                        <w:tc>
                          <w:tcPr>
                            <w:tcW w:w="2551" w:type="dxa"/>
                            <w:noWrap/>
                            <w:vAlign w:val="bottom"/>
                          </w:tcPr>
                          <w:p w14:paraId="383C3888">
                            <w:pPr>
                              <w:widowControl/>
                              <w:spacing w:line="360" w:lineRule="exact"/>
                              <w:jc w:val="left"/>
                              <w:rPr>
                                <w:rFonts w:hint="eastAsia" w:ascii="宋体" w:hAnsi="宋体" w:cs="宋体"/>
                                <w:kern w:val="0"/>
                                <w:sz w:val="18"/>
                                <w:szCs w:val="18"/>
                              </w:rPr>
                            </w:pPr>
                            <w:r>
                              <w:rPr>
                                <w:rFonts w:ascii="宋体" w:hAnsi="宋体" w:cs="宋体"/>
                                <w:kern w:val="0"/>
                                <w:sz w:val="18"/>
                                <w:szCs w:val="18"/>
                              </w:rPr>
                              <w:t>1001202929025807250</w:t>
                            </w:r>
                          </w:p>
                        </w:tc>
                      </w:tr>
                      <w:tr w14:paraId="383C388D">
                        <w:tblPrEx>
                          <w:tblBorders>
                            <w:top w:val="double" w:color="auto" w:sz="6" w:space="0"/>
                            <w:left w:val="double" w:color="auto" w:sz="6" w:space="0"/>
                            <w:bottom w:val="double" w:color="auto" w:sz="6" w:space="0"/>
                            <w:right w:val="double" w:color="auto" w:sz="6" w:space="0"/>
                            <w:insideH w:val="double" w:color="auto" w:sz="6" w:space="0"/>
                            <w:insideV w:val="double" w:color="auto" w:sz="6" w:space="0"/>
                          </w:tblBorders>
                          <w:tblCellMar>
                            <w:top w:w="0" w:type="dxa"/>
                            <w:left w:w="108" w:type="dxa"/>
                            <w:bottom w:w="0" w:type="dxa"/>
                            <w:right w:w="108" w:type="dxa"/>
                          </w:tblCellMar>
                        </w:tblPrEx>
                        <w:trPr>
                          <w:trHeight w:val="250" w:hRule="atLeast"/>
                        </w:trPr>
                        <w:tc>
                          <w:tcPr>
                            <w:tcW w:w="3298" w:type="dxa"/>
                            <w:noWrap/>
                            <w:vAlign w:val="bottom"/>
                          </w:tcPr>
                          <w:p w14:paraId="383C388A">
                            <w:pPr>
                              <w:widowControl/>
                              <w:jc w:val="left"/>
                              <w:rPr>
                                <w:rFonts w:hint="eastAsia" w:ascii="宋体" w:hAnsi="宋体" w:cs="宋体"/>
                                <w:kern w:val="0"/>
                                <w:sz w:val="18"/>
                                <w:szCs w:val="18"/>
                              </w:rPr>
                            </w:pPr>
                            <w:r>
                              <w:rPr>
                                <w:rFonts w:hint="eastAsia" w:ascii="宋体" w:hAnsi="宋体" w:cs="宋体"/>
                                <w:kern w:val="0"/>
                                <w:sz w:val="18"/>
                                <w:szCs w:val="18"/>
                              </w:rPr>
                              <w:t>汇添富基金管理股份有限公司直销专户</w:t>
                            </w:r>
                          </w:p>
                        </w:tc>
                        <w:tc>
                          <w:tcPr>
                            <w:tcW w:w="3898" w:type="dxa"/>
                            <w:noWrap/>
                            <w:vAlign w:val="bottom"/>
                          </w:tcPr>
                          <w:p w14:paraId="383C388B">
                            <w:pPr>
                              <w:widowControl/>
                              <w:spacing w:line="360" w:lineRule="exact"/>
                              <w:jc w:val="left"/>
                              <w:rPr>
                                <w:rFonts w:hint="eastAsia" w:ascii="宋体" w:hAnsi="宋体" w:cs="宋体"/>
                                <w:kern w:val="0"/>
                                <w:sz w:val="18"/>
                                <w:szCs w:val="18"/>
                              </w:rPr>
                            </w:pPr>
                            <w:r>
                              <w:rPr>
                                <w:rFonts w:hint="eastAsia" w:ascii="宋体" w:hAnsi="宋体" w:cs="宋体"/>
                                <w:kern w:val="0"/>
                                <w:sz w:val="18"/>
                                <w:szCs w:val="18"/>
                              </w:rPr>
                              <w:t>兴业银行股份有限公司上海分行营业部</w:t>
                            </w:r>
                          </w:p>
                        </w:tc>
                        <w:tc>
                          <w:tcPr>
                            <w:tcW w:w="2551" w:type="dxa"/>
                            <w:noWrap/>
                            <w:vAlign w:val="bottom"/>
                          </w:tcPr>
                          <w:p w14:paraId="383C388C">
                            <w:pPr>
                              <w:widowControl/>
                              <w:spacing w:line="360" w:lineRule="exact"/>
                              <w:jc w:val="left"/>
                              <w:rPr>
                                <w:rFonts w:hint="eastAsia" w:ascii="宋体" w:hAnsi="宋体" w:cs="宋体"/>
                                <w:kern w:val="0"/>
                                <w:sz w:val="18"/>
                                <w:szCs w:val="18"/>
                              </w:rPr>
                            </w:pPr>
                            <w:r>
                              <w:rPr>
                                <w:rFonts w:ascii="宋体" w:hAnsi="宋体" w:cs="宋体"/>
                                <w:kern w:val="0"/>
                                <w:sz w:val="18"/>
                                <w:szCs w:val="18"/>
                              </w:rPr>
                              <w:t>216200100101516289</w:t>
                            </w:r>
                          </w:p>
                        </w:tc>
                      </w:tr>
                    </w:tbl>
                    <w:p w14:paraId="383C388E">
                      <w:pPr>
                        <w:rPr>
                          <w:b/>
                          <w:sz w:val="18"/>
                          <w:szCs w:val="18"/>
                        </w:rPr>
                      </w:pPr>
                    </w:p>
                  </w:txbxContent>
                </v:textbox>
              </v:rect>
            </w:pict>
          </mc:Fallback>
        </mc:AlternateContent>
      </w:r>
    </w:p>
    <w:sectPr>
      <w:headerReference r:id="rId5" w:type="first"/>
      <w:footerReference r:id="rId8" w:type="first"/>
      <w:headerReference r:id="rId3" w:type="default"/>
      <w:footerReference r:id="rId6" w:type="default"/>
      <w:headerReference r:id="rId4" w:type="even"/>
      <w:footerReference r:id="rId7" w:type="even"/>
      <w:pgSz w:w="11906" w:h="16838"/>
      <w:pgMar w:top="794" w:right="1106" w:bottom="1077" w:left="1701"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Helvetica">
    <w:altName w:val="Arial"/>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3C385F">
    <w:pPr>
      <w:pStyle w:val="4"/>
      <w:jc w:val="right"/>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2</w:t>
    </w:r>
    <w:r>
      <w:rPr>
        <w:b/>
        <w:sz w:val="24"/>
        <w:szCs w:val="24"/>
      </w:rPr>
      <w:fldChar w:fldCharType="end"/>
    </w:r>
  </w:p>
  <w:p w14:paraId="383C3860">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24E083">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FC74B">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3C385E">
    <w:pPr>
      <w:pStyle w:val="5"/>
      <w:jc w:val="left"/>
    </w:pPr>
    <w:r>
      <w:drawing>
        <wp:inline distT="0" distB="0" distL="0" distR="0">
          <wp:extent cx="673100" cy="196850"/>
          <wp:effectExtent l="0" t="0" r="0" b="0"/>
          <wp:docPr id="2" name="图片 3"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1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73100" cy="196850"/>
                  </a:xfrm>
                  <a:prstGeom prst="rect">
                    <a:avLst/>
                  </a:prstGeom>
                  <a:noFill/>
                  <a:ln>
                    <a:noFill/>
                  </a:ln>
                  <a:effectLst/>
                </pic:spPr>
              </pic:pic>
            </a:graphicData>
          </a:graphic>
        </wp:inline>
      </w:drawing>
    </w:r>
    <w:r>
      <w:rPr>
        <w:rFonts w:hint="eastAsia"/>
      </w:rPr>
      <w:t xml:space="preserve">                 账户业务申请表-个人投资者（2026年版）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76BE41">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A976E6">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B51F24"/>
    <w:multiLevelType w:val="multilevel"/>
    <w:tmpl w:val="05B51F24"/>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1FD85F05"/>
    <w:multiLevelType w:val="multilevel"/>
    <w:tmpl w:val="1FD85F05"/>
    <w:lvl w:ilvl="0" w:tentative="0">
      <w:start w:val="1"/>
      <w:numFmt w:val="decimal"/>
      <w:lvlText w:val="%1、"/>
      <w:lvlJc w:val="left"/>
      <w:pPr>
        <w:tabs>
          <w:tab w:val="left" w:pos="420"/>
        </w:tabs>
        <w:ind w:left="420" w:hanging="420"/>
      </w:pPr>
      <w:rPr>
        <w:rFonts w:ascii="Times New Roman" w:hAnsi="Times New Roman" w:eastAsia="宋体" w:cs="Times New Roman"/>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47096FCB"/>
    <w:multiLevelType w:val="multilevel"/>
    <w:tmpl w:val="47096FCB"/>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
    <w:nsid w:val="57651026"/>
    <w:multiLevelType w:val="multilevel"/>
    <w:tmpl w:val="57651026"/>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0B9B"/>
    <w:rsid w:val="00033537"/>
    <w:rsid w:val="00062942"/>
    <w:rsid w:val="00074CC8"/>
    <w:rsid w:val="00082A0F"/>
    <w:rsid w:val="00100B9B"/>
    <w:rsid w:val="001163EF"/>
    <w:rsid w:val="0012418B"/>
    <w:rsid w:val="00142ACC"/>
    <w:rsid w:val="001871CF"/>
    <w:rsid w:val="001C24D4"/>
    <w:rsid w:val="001D3782"/>
    <w:rsid w:val="001F0EED"/>
    <w:rsid w:val="001F4148"/>
    <w:rsid w:val="0025198B"/>
    <w:rsid w:val="0027654F"/>
    <w:rsid w:val="0029231C"/>
    <w:rsid w:val="002936E6"/>
    <w:rsid w:val="002A4CA6"/>
    <w:rsid w:val="00304DB4"/>
    <w:rsid w:val="00345C3B"/>
    <w:rsid w:val="003A352D"/>
    <w:rsid w:val="003C337B"/>
    <w:rsid w:val="003D76A5"/>
    <w:rsid w:val="003F3F0E"/>
    <w:rsid w:val="00423C0D"/>
    <w:rsid w:val="00434471"/>
    <w:rsid w:val="004727AB"/>
    <w:rsid w:val="004B0466"/>
    <w:rsid w:val="004F5173"/>
    <w:rsid w:val="00503D86"/>
    <w:rsid w:val="005500B5"/>
    <w:rsid w:val="00563D08"/>
    <w:rsid w:val="005729BC"/>
    <w:rsid w:val="005A2050"/>
    <w:rsid w:val="005C3A97"/>
    <w:rsid w:val="00606788"/>
    <w:rsid w:val="00636CBD"/>
    <w:rsid w:val="00646617"/>
    <w:rsid w:val="006C0A24"/>
    <w:rsid w:val="006F228F"/>
    <w:rsid w:val="00792412"/>
    <w:rsid w:val="007B4135"/>
    <w:rsid w:val="007D3973"/>
    <w:rsid w:val="007F7A75"/>
    <w:rsid w:val="007F7FEC"/>
    <w:rsid w:val="00825A2C"/>
    <w:rsid w:val="00833795"/>
    <w:rsid w:val="00850BC9"/>
    <w:rsid w:val="008B7CEF"/>
    <w:rsid w:val="008E3EB4"/>
    <w:rsid w:val="009102E5"/>
    <w:rsid w:val="00992DAE"/>
    <w:rsid w:val="009C1B2B"/>
    <w:rsid w:val="009D0316"/>
    <w:rsid w:val="00A17A32"/>
    <w:rsid w:val="00A32D01"/>
    <w:rsid w:val="00A41720"/>
    <w:rsid w:val="00A73950"/>
    <w:rsid w:val="00B40D06"/>
    <w:rsid w:val="00B7359E"/>
    <w:rsid w:val="00B922A4"/>
    <w:rsid w:val="00BA4B48"/>
    <w:rsid w:val="00C33B31"/>
    <w:rsid w:val="00C409E0"/>
    <w:rsid w:val="00D2246D"/>
    <w:rsid w:val="00D43980"/>
    <w:rsid w:val="00D87D40"/>
    <w:rsid w:val="00D91992"/>
    <w:rsid w:val="00E20999"/>
    <w:rsid w:val="00E42651"/>
    <w:rsid w:val="00E71B3D"/>
    <w:rsid w:val="00E93D6D"/>
    <w:rsid w:val="00EA5613"/>
    <w:rsid w:val="00F375E4"/>
    <w:rsid w:val="00F52D54"/>
    <w:rsid w:val="00FA64CF"/>
    <w:rsid w:val="00FC427F"/>
    <w:rsid w:val="00FE24EF"/>
    <w:rsid w:val="00FF1CFD"/>
    <w:rsid w:val="00FF490A"/>
    <w:rsid w:val="21DB6320"/>
    <w:rsid w:val="24ED3FEA"/>
    <w:rsid w:val="49A8200E"/>
    <w:rsid w:val="641B0777"/>
    <w:rsid w:val="6EBB24CA"/>
    <w:rsid w:val="774A234A"/>
    <w:rsid w:val="7C7616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1"/>
    <w:qFormat/>
    <w:uiPriority w:val="0"/>
    <w:pPr>
      <w:jc w:val="left"/>
    </w:pPr>
  </w:style>
  <w:style w:type="paragraph" w:styleId="3">
    <w:name w:val="Balloon Text"/>
    <w:basedOn w:val="1"/>
    <w:link w:val="15"/>
    <w:semiHidden/>
    <w:unhideWhenUsed/>
    <w:qFormat/>
    <w:uiPriority w:val="99"/>
    <w:rPr>
      <w:sz w:val="18"/>
      <w:szCs w:val="18"/>
    </w:r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jc w:val="left"/>
    </w:pPr>
    <w:rPr>
      <w:rFonts w:ascii="宋体" w:hAnsi="宋体" w:cs="宋体"/>
      <w:kern w:val="0"/>
      <w:sz w:val="24"/>
    </w:rPr>
  </w:style>
  <w:style w:type="character" w:styleId="9">
    <w:name w:val="Hyperlink"/>
    <w:qFormat/>
    <w:uiPriority w:val="0"/>
    <w:rPr>
      <w:color w:val="0000FF"/>
      <w:u w:val="single"/>
    </w:rPr>
  </w:style>
  <w:style w:type="character" w:styleId="10">
    <w:name w:val="annotation reference"/>
    <w:qFormat/>
    <w:uiPriority w:val="0"/>
    <w:rPr>
      <w:sz w:val="21"/>
      <w:szCs w:val="21"/>
    </w:rPr>
  </w:style>
  <w:style w:type="character" w:customStyle="1" w:styleId="11">
    <w:name w:val="批注文字 字符"/>
    <w:basedOn w:val="8"/>
    <w:link w:val="2"/>
    <w:qFormat/>
    <w:uiPriority w:val="0"/>
    <w:rPr>
      <w:rFonts w:ascii="Times New Roman" w:hAnsi="Times New Roman" w:eastAsia="宋体" w:cs="Times New Roman"/>
      <w:szCs w:val="24"/>
    </w:rPr>
  </w:style>
  <w:style w:type="character" w:customStyle="1" w:styleId="12">
    <w:name w:val="页脚 字符"/>
    <w:basedOn w:val="8"/>
    <w:link w:val="4"/>
    <w:qFormat/>
    <w:uiPriority w:val="99"/>
    <w:rPr>
      <w:rFonts w:ascii="Times New Roman" w:hAnsi="Times New Roman" w:eastAsia="宋体" w:cs="Times New Roman"/>
      <w:sz w:val="18"/>
      <w:szCs w:val="18"/>
    </w:rPr>
  </w:style>
  <w:style w:type="character" w:customStyle="1" w:styleId="13">
    <w:name w:val="页眉 字符"/>
    <w:basedOn w:val="8"/>
    <w:link w:val="5"/>
    <w:qFormat/>
    <w:uiPriority w:val="0"/>
    <w:rPr>
      <w:rFonts w:ascii="Times New Roman" w:hAnsi="Times New Roman" w:eastAsia="宋体" w:cs="Times New Roman"/>
      <w:sz w:val="18"/>
      <w:szCs w:val="18"/>
    </w:rPr>
  </w:style>
  <w:style w:type="paragraph" w:customStyle="1" w:styleId="14">
    <w:name w:val="p1"/>
    <w:basedOn w:val="1"/>
    <w:qFormat/>
    <w:uiPriority w:val="0"/>
    <w:pPr>
      <w:widowControl/>
      <w:spacing w:before="100" w:beforeAutospacing="1" w:after="100" w:afterAutospacing="1"/>
      <w:jc w:val="left"/>
    </w:pPr>
    <w:rPr>
      <w:rFonts w:ascii="宋体" w:hAnsi="宋体" w:cs="宋体"/>
      <w:kern w:val="0"/>
      <w:sz w:val="24"/>
    </w:rPr>
  </w:style>
  <w:style w:type="character" w:customStyle="1" w:styleId="15">
    <w:name w:val="批注框文本 字符"/>
    <w:basedOn w:val="8"/>
    <w:link w:val="3"/>
    <w:semiHidden/>
    <w:qFormat/>
    <w:uiPriority w:val="99"/>
    <w:rPr>
      <w:rFonts w:ascii="Times New Roman" w:hAnsi="Times New Roman" w:eastAsia="宋体" w:cs="Times New Roman"/>
      <w:sz w:val="18"/>
      <w:szCs w:val="18"/>
    </w:rPr>
  </w:style>
  <w:style w:type="paragraph" w:customStyle="1" w:styleId="16">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17">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385</Words>
  <Characters>2199</Characters>
  <Lines>18</Lines>
  <Paragraphs>5</Paragraphs>
  <TotalTime>12</TotalTime>
  <ScaleCrop>false</ScaleCrop>
  <LinksUpToDate>false</LinksUpToDate>
  <CharactersWithSpaces>2579</CharactersWithSpaces>
  <Application>WPS Office_12.8.2.18913_F1E327BC-269C-435d-A152-05C5408002CA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2025-10-20T05:39:00Z</dcterms:created>
  <dc:creator>赵莉萍</dc:creator>
  <cp:lastModifiedBy>zhangjunling</cp:lastModifiedBy>
  <dcterms:modified xsi:type="dcterms:W3CDTF">2026-01-23T02:23:28Z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2052-12.8.2.18913</vt:lpwstr>
  </property>
  <property fmtid="{D5CDD505-2E9C-101B-9397-08002B2CF9AE}" pid="3" name="ICV">
    <vt:lpwstr>FA73383A756C44CA926F71D85AF8B831_13</vt:lpwstr>
  </property>
</Properties>
</file>